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2A6A" w:rsidRPr="00B34134" w:rsidRDefault="007862A0" w:rsidP="00F33466">
      <w:pPr>
        <w:pStyle w:val="a4"/>
        <w:spacing w:line="360" w:lineRule="auto"/>
        <w:jc w:val="center"/>
        <w:rPr>
          <w:rFonts w:ascii="黑体" w:eastAsia="黑体"/>
          <w:sz w:val="32"/>
        </w:rPr>
      </w:pPr>
      <w:r>
        <w:rPr>
          <w:rFonts w:ascii="黑体" w:eastAsia="黑体"/>
          <w:sz w:val="32"/>
        </w:rPr>
        <w:t>201</w:t>
      </w:r>
      <w:r>
        <w:rPr>
          <w:rFonts w:ascii="黑体" w:eastAsia="黑体" w:hint="eastAsia"/>
          <w:sz w:val="32"/>
        </w:rPr>
        <w:t>6</w:t>
      </w:r>
      <w:r w:rsidR="00B34134">
        <w:rPr>
          <w:rFonts w:ascii="黑体" w:eastAsia="黑体" w:hint="eastAsia"/>
          <w:sz w:val="32"/>
        </w:rPr>
        <w:t>年湖南省研究生</w:t>
      </w:r>
      <w:r w:rsidR="00B34134" w:rsidRPr="00397710">
        <w:rPr>
          <w:rFonts w:ascii="黑体" w:eastAsia="黑体" w:hint="eastAsia"/>
          <w:sz w:val="32"/>
        </w:rPr>
        <w:t>数学建模竞赛题目</w:t>
      </w:r>
    </w:p>
    <w:p w:rsidR="00D32A6A" w:rsidRPr="003B396B" w:rsidRDefault="00850E36" w:rsidP="00F33466">
      <w:pPr>
        <w:adjustRightInd w:val="0"/>
        <w:snapToGrid w:val="0"/>
        <w:spacing w:line="360" w:lineRule="auto"/>
        <w:jc w:val="center"/>
        <w:rPr>
          <w:b/>
          <w:sz w:val="24"/>
        </w:rPr>
      </w:pPr>
      <w:r w:rsidRPr="00850E36">
        <w:rPr>
          <w:noProof/>
        </w:rPr>
        <w:pict>
          <v:line id="_x0000_s1026" style="position:absolute;left:0;text-align:left;z-index:251658240" from="0,6.8pt" to="414pt,7.4pt" strokeweight="4.5pt">
            <v:stroke linestyle="thinThick"/>
          </v:line>
        </w:pict>
      </w:r>
    </w:p>
    <w:p w:rsidR="007862A0" w:rsidRPr="00B1187D" w:rsidRDefault="00F33466" w:rsidP="00F33466">
      <w:pPr>
        <w:spacing w:line="360" w:lineRule="auto"/>
        <w:jc w:val="center"/>
        <w:rPr>
          <w:b/>
          <w:sz w:val="30"/>
          <w:szCs w:val="30"/>
        </w:rPr>
      </w:pPr>
      <w:r>
        <w:rPr>
          <w:rFonts w:hint="eastAsia"/>
          <w:b/>
          <w:sz w:val="28"/>
          <w:szCs w:val="28"/>
        </w:rPr>
        <w:t>A</w:t>
      </w:r>
      <w:r w:rsidR="00B34134">
        <w:rPr>
          <w:rFonts w:hint="eastAsia"/>
          <w:b/>
          <w:sz w:val="28"/>
          <w:szCs w:val="28"/>
        </w:rPr>
        <w:t>题</w:t>
      </w:r>
      <w:r w:rsidR="00B34134">
        <w:rPr>
          <w:b/>
          <w:sz w:val="28"/>
          <w:szCs w:val="28"/>
        </w:rPr>
        <w:t xml:space="preserve">  </w:t>
      </w:r>
      <w:r w:rsidRPr="00F33466">
        <w:rPr>
          <w:rFonts w:ascii="宋体" w:hAnsi="宋体" w:cs="宋体" w:hint="eastAsia"/>
          <w:b/>
          <w:kern w:val="0"/>
          <w:sz w:val="28"/>
          <w:szCs w:val="28"/>
        </w:rPr>
        <w:t>国家电网电容器投标报价策略</w:t>
      </w:r>
    </w:p>
    <w:p w:rsidR="00B34134" w:rsidRPr="007862A0" w:rsidRDefault="00B34134" w:rsidP="00F33466">
      <w:pPr>
        <w:pStyle w:val="a4"/>
        <w:spacing w:line="360" w:lineRule="auto"/>
        <w:jc w:val="center"/>
        <w:rPr>
          <w:b/>
          <w:sz w:val="28"/>
          <w:szCs w:val="28"/>
        </w:rPr>
      </w:pPr>
    </w:p>
    <w:p w:rsidR="00F33466" w:rsidRDefault="00F33466" w:rsidP="00F33466">
      <w:pPr>
        <w:autoSpaceDE w:val="0"/>
        <w:autoSpaceDN w:val="0"/>
        <w:adjustRightInd w:val="0"/>
        <w:spacing w:line="360" w:lineRule="auto"/>
        <w:ind w:firstLineChars="197" w:firstLine="473"/>
        <w:jc w:val="left"/>
        <w:rPr>
          <w:sz w:val="24"/>
        </w:rPr>
      </w:pPr>
      <w:r w:rsidRPr="00B67C7F">
        <w:rPr>
          <w:rFonts w:ascii="宋体" w:cs="宋体" w:hint="eastAsia"/>
          <w:kern w:val="0"/>
          <w:sz w:val="24"/>
        </w:rPr>
        <w:t>招标投标在现代商业采购行为中运用得越来越广泛。随着社会的发展,</w:t>
      </w:r>
      <w:r>
        <w:rPr>
          <w:rFonts w:ascii="宋体" w:cs="宋体" w:hint="eastAsia"/>
          <w:kern w:val="0"/>
          <w:sz w:val="24"/>
        </w:rPr>
        <w:t>招投标所面对</w:t>
      </w:r>
      <w:r w:rsidRPr="00B67C7F">
        <w:rPr>
          <w:rFonts w:ascii="宋体" w:cs="宋体" w:hint="eastAsia"/>
          <w:kern w:val="0"/>
          <w:sz w:val="24"/>
        </w:rPr>
        <w:t>的经济对象不断地大型化、复杂化</w:t>
      </w:r>
      <w:r w:rsidRPr="00B67C7F">
        <w:rPr>
          <w:rFonts w:ascii="B3+CAJ FNT00" w:eastAsia="B3+CAJ FNT00" w:cs="B3+CAJ FNT00"/>
          <w:kern w:val="0"/>
          <w:sz w:val="24"/>
        </w:rPr>
        <w:t>,</w:t>
      </w:r>
      <w:r w:rsidRPr="00D54035">
        <w:rPr>
          <w:rFonts w:ascii="宋体" w:cs="宋体" w:hint="eastAsia"/>
          <w:kern w:val="0"/>
          <w:sz w:val="24"/>
        </w:rPr>
        <w:t>招投标行为</w:t>
      </w:r>
      <w:r w:rsidRPr="00B67C7F">
        <w:rPr>
          <w:rFonts w:ascii="宋体" w:cs="宋体" w:hint="eastAsia"/>
          <w:kern w:val="0"/>
          <w:sz w:val="24"/>
        </w:rPr>
        <w:t>多批次化,从而给投标决策提出了新的问题.如何</w:t>
      </w:r>
      <w:r>
        <w:rPr>
          <w:rFonts w:hint="eastAsia"/>
          <w:sz w:val="24"/>
        </w:rPr>
        <w:t>构建并实施</w:t>
      </w:r>
      <w:r w:rsidRPr="00B67C7F">
        <w:rPr>
          <w:rFonts w:hint="eastAsia"/>
          <w:sz w:val="24"/>
        </w:rPr>
        <w:t>有效的投标报价策略、</w:t>
      </w:r>
      <w:r>
        <w:rPr>
          <w:rFonts w:hint="eastAsia"/>
          <w:sz w:val="24"/>
        </w:rPr>
        <w:t>以此为依据</w:t>
      </w:r>
      <w:r w:rsidRPr="00B67C7F">
        <w:rPr>
          <w:rFonts w:hint="eastAsia"/>
          <w:sz w:val="24"/>
        </w:rPr>
        <w:t>制定</w:t>
      </w:r>
      <w:r>
        <w:rPr>
          <w:rFonts w:hint="eastAsia"/>
          <w:sz w:val="24"/>
        </w:rPr>
        <w:t>出既有合理利润又有竞争优势</w:t>
      </w:r>
      <w:r w:rsidRPr="00B67C7F">
        <w:rPr>
          <w:rFonts w:hint="eastAsia"/>
          <w:sz w:val="24"/>
        </w:rPr>
        <w:t>的报价，关系着投标企业的经济效益乃至于企业的生死存亡。</w:t>
      </w:r>
    </w:p>
    <w:p w:rsidR="00F33466" w:rsidRDefault="00F33466" w:rsidP="00F33466">
      <w:pPr>
        <w:autoSpaceDE w:val="0"/>
        <w:autoSpaceDN w:val="0"/>
        <w:adjustRightInd w:val="0"/>
        <w:spacing w:line="360" w:lineRule="auto"/>
        <w:ind w:firstLineChars="197" w:firstLine="473"/>
        <w:jc w:val="left"/>
        <w:rPr>
          <w:sz w:val="24"/>
        </w:rPr>
      </w:pPr>
      <w:r>
        <w:rPr>
          <w:rFonts w:hint="eastAsia"/>
          <w:sz w:val="24"/>
        </w:rPr>
        <w:t>国家电网</w:t>
      </w:r>
      <w:r>
        <w:rPr>
          <w:rFonts w:hint="eastAsia"/>
          <w:sz w:val="24"/>
        </w:rPr>
        <w:t>2013</w:t>
      </w:r>
      <w:r>
        <w:rPr>
          <w:rFonts w:hint="eastAsia"/>
          <w:sz w:val="24"/>
        </w:rPr>
        <w:t>年至</w:t>
      </w:r>
      <w:r>
        <w:rPr>
          <w:rFonts w:hint="eastAsia"/>
          <w:sz w:val="24"/>
        </w:rPr>
        <w:t>2015</w:t>
      </w:r>
      <w:r>
        <w:rPr>
          <w:rFonts w:hint="eastAsia"/>
          <w:sz w:val="24"/>
        </w:rPr>
        <w:t>年每年举行</w:t>
      </w:r>
      <w:r>
        <w:rPr>
          <w:rFonts w:hint="eastAsia"/>
          <w:sz w:val="24"/>
        </w:rPr>
        <w:t>6</w:t>
      </w:r>
      <w:r>
        <w:rPr>
          <w:rFonts w:hint="eastAsia"/>
          <w:sz w:val="24"/>
        </w:rPr>
        <w:t>批电容器类货物的招标，每批又分若干包，不同包包含的电容器规格、数量不同。参加投标厂家每年基本固定，主要厂家有</w:t>
      </w:r>
      <w:r>
        <w:rPr>
          <w:rFonts w:hint="eastAsia"/>
          <w:sz w:val="24"/>
        </w:rPr>
        <w:t>17</w:t>
      </w:r>
      <w:r>
        <w:rPr>
          <w:rFonts w:hint="eastAsia"/>
          <w:sz w:val="24"/>
        </w:rPr>
        <w:t>家左右（具体见附件）。</w:t>
      </w:r>
    </w:p>
    <w:p w:rsidR="00F33466" w:rsidRDefault="00F33466" w:rsidP="00F33466">
      <w:pPr>
        <w:autoSpaceDE w:val="0"/>
        <w:autoSpaceDN w:val="0"/>
        <w:adjustRightInd w:val="0"/>
        <w:spacing w:line="360" w:lineRule="auto"/>
        <w:ind w:firstLineChars="197" w:firstLine="473"/>
        <w:jc w:val="left"/>
        <w:rPr>
          <w:sz w:val="24"/>
        </w:rPr>
      </w:pPr>
      <w:r w:rsidRPr="00B67C7F">
        <w:rPr>
          <w:rFonts w:hint="eastAsia"/>
          <w:sz w:val="24"/>
        </w:rPr>
        <w:t>国家电网</w:t>
      </w:r>
      <w:r>
        <w:rPr>
          <w:rFonts w:hint="eastAsia"/>
          <w:sz w:val="24"/>
        </w:rPr>
        <w:t>在</w:t>
      </w:r>
      <w:r>
        <w:rPr>
          <w:rFonts w:hint="eastAsia"/>
          <w:sz w:val="24"/>
        </w:rPr>
        <w:t>2013</w:t>
      </w:r>
      <w:r>
        <w:rPr>
          <w:rFonts w:hint="eastAsia"/>
          <w:sz w:val="24"/>
        </w:rPr>
        <w:t>年</w:t>
      </w:r>
      <w:r>
        <w:rPr>
          <w:rFonts w:hint="eastAsia"/>
          <w:sz w:val="24"/>
        </w:rPr>
        <w:t>-2014</w:t>
      </w:r>
      <w:r>
        <w:rPr>
          <w:rFonts w:hint="eastAsia"/>
          <w:sz w:val="24"/>
        </w:rPr>
        <w:t>年采用的是综合评标</w:t>
      </w:r>
      <w:r w:rsidRPr="00B67C7F">
        <w:rPr>
          <w:rFonts w:hint="eastAsia"/>
          <w:sz w:val="24"/>
        </w:rPr>
        <w:t>法</w:t>
      </w:r>
      <w:r>
        <w:rPr>
          <w:rFonts w:hint="eastAsia"/>
          <w:sz w:val="24"/>
        </w:rPr>
        <w:t>进行招标</w:t>
      </w:r>
      <w:r w:rsidRPr="00B67C7F">
        <w:rPr>
          <w:rFonts w:hint="eastAsia"/>
          <w:sz w:val="24"/>
        </w:rPr>
        <w:t>。该</w:t>
      </w:r>
      <w:r w:rsidRPr="00B67C7F">
        <w:rPr>
          <w:sz w:val="24"/>
        </w:rPr>
        <w:t>评标办法中，技术、价格、商务占的比例分别为</w:t>
      </w:r>
      <w:r w:rsidRPr="00B67C7F">
        <w:rPr>
          <w:sz w:val="24"/>
        </w:rPr>
        <w:t>30%</w:t>
      </w:r>
      <w:r w:rsidRPr="00B67C7F">
        <w:rPr>
          <w:sz w:val="24"/>
        </w:rPr>
        <w:t>、</w:t>
      </w:r>
      <w:r w:rsidRPr="00B67C7F">
        <w:rPr>
          <w:sz w:val="24"/>
        </w:rPr>
        <w:t>60%</w:t>
      </w:r>
      <w:r w:rsidRPr="00B67C7F">
        <w:rPr>
          <w:sz w:val="24"/>
        </w:rPr>
        <w:t>、</w:t>
      </w:r>
      <w:r w:rsidRPr="00B67C7F">
        <w:rPr>
          <w:sz w:val="24"/>
        </w:rPr>
        <w:t>10%</w:t>
      </w:r>
      <w:r w:rsidRPr="00B67C7F">
        <w:rPr>
          <w:sz w:val="24"/>
        </w:rPr>
        <w:t>，以总分</w:t>
      </w:r>
      <w:r w:rsidRPr="00B67C7F">
        <w:rPr>
          <w:sz w:val="24"/>
        </w:rPr>
        <w:t>100</w:t>
      </w:r>
      <w:r w:rsidRPr="00B67C7F">
        <w:rPr>
          <w:sz w:val="24"/>
        </w:rPr>
        <w:t>分计</w:t>
      </w:r>
      <w:r w:rsidRPr="00B67C7F">
        <w:rPr>
          <w:rFonts w:hint="eastAsia"/>
          <w:sz w:val="24"/>
        </w:rPr>
        <w:t>。</w:t>
      </w:r>
      <w:r>
        <w:rPr>
          <w:rFonts w:hint="eastAsia"/>
          <w:sz w:val="24"/>
        </w:rPr>
        <w:t>假定各厂家在技术、商务方面实力基本相当，因此此问题中各厂家</w:t>
      </w:r>
      <w:r w:rsidRPr="00B67C7F">
        <w:rPr>
          <w:sz w:val="24"/>
        </w:rPr>
        <w:t>只</w:t>
      </w:r>
      <w:r>
        <w:rPr>
          <w:rFonts w:hint="eastAsia"/>
          <w:sz w:val="24"/>
        </w:rPr>
        <w:t>需</w:t>
      </w:r>
      <w:r>
        <w:rPr>
          <w:sz w:val="24"/>
        </w:rPr>
        <w:t>考虑通过合理的报价提高价格得分</w:t>
      </w:r>
      <w:r>
        <w:rPr>
          <w:rFonts w:hint="eastAsia"/>
          <w:sz w:val="24"/>
        </w:rPr>
        <w:t>，只要价格得分第一就认为中标。各投标厂家具体得分大小采用</w:t>
      </w:r>
      <w:r w:rsidRPr="00A461A1">
        <w:rPr>
          <w:rFonts w:hint="eastAsia"/>
          <w:b/>
          <w:sz w:val="24"/>
        </w:rPr>
        <w:t>区间平均下浮双边曲线算法</w:t>
      </w:r>
      <w:r>
        <w:rPr>
          <w:rFonts w:hint="eastAsia"/>
          <w:sz w:val="24"/>
        </w:rPr>
        <w:t>（见附录说明</w:t>
      </w:r>
      <w:r>
        <w:rPr>
          <w:rFonts w:hint="eastAsia"/>
          <w:sz w:val="24"/>
        </w:rPr>
        <w:t>1</w:t>
      </w:r>
      <w:r>
        <w:rPr>
          <w:rFonts w:hint="eastAsia"/>
          <w:sz w:val="24"/>
        </w:rPr>
        <w:t>）</w:t>
      </w:r>
      <w:r>
        <w:rPr>
          <w:rFonts w:hint="eastAsia"/>
          <w:sz w:val="24"/>
        </w:rPr>
        <w:t xml:space="preserve"> </w:t>
      </w:r>
    </w:p>
    <w:p w:rsidR="00F33466" w:rsidRDefault="00F33466" w:rsidP="00F33466">
      <w:pPr>
        <w:autoSpaceDE w:val="0"/>
        <w:autoSpaceDN w:val="0"/>
        <w:adjustRightInd w:val="0"/>
        <w:spacing w:line="360" w:lineRule="auto"/>
        <w:ind w:firstLineChars="197" w:firstLine="473"/>
        <w:jc w:val="left"/>
        <w:rPr>
          <w:sz w:val="24"/>
        </w:rPr>
      </w:pPr>
      <w:r w:rsidRPr="004051B0">
        <w:rPr>
          <w:rFonts w:hint="eastAsia"/>
          <w:sz w:val="24"/>
        </w:rPr>
        <w:t>实际</w:t>
      </w:r>
      <w:r>
        <w:rPr>
          <w:rFonts w:hint="eastAsia"/>
          <w:sz w:val="24"/>
        </w:rPr>
        <w:t>投标</w:t>
      </w:r>
      <w:r w:rsidRPr="004051B0">
        <w:rPr>
          <w:rFonts w:hint="eastAsia"/>
          <w:sz w:val="24"/>
        </w:rPr>
        <w:t>中</w:t>
      </w:r>
      <w:r>
        <w:rPr>
          <w:rFonts w:hint="eastAsia"/>
          <w:sz w:val="24"/>
        </w:rPr>
        <w:t>，由于</w:t>
      </w:r>
      <w:r w:rsidRPr="004051B0">
        <w:rPr>
          <w:rFonts w:hint="eastAsia"/>
          <w:sz w:val="24"/>
        </w:rPr>
        <w:t>竞争对手的投标策略是随着市场环境及自身条件的变化而变化的</w:t>
      </w:r>
      <w:r w:rsidR="00627255">
        <w:rPr>
          <w:rFonts w:hint="eastAsia"/>
          <w:sz w:val="24"/>
        </w:rPr>
        <w:t>，因此就是对同一个包（货物类型以及对应数量完全相同），同一厂家</w:t>
      </w:r>
      <w:r w:rsidR="005960EB">
        <w:rPr>
          <w:rFonts w:hint="eastAsia"/>
          <w:sz w:val="24"/>
        </w:rPr>
        <w:t>在不同批次中的报价也可能是不同的。还需要注意价格下浮比例（或称下浮系数</w:t>
      </w:r>
      <w:r>
        <w:rPr>
          <w:rFonts w:hint="eastAsia"/>
          <w:sz w:val="24"/>
        </w:rPr>
        <w:t>）以及减分</w:t>
      </w:r>
      <w:r w:rsidR="008B30D4">
        <w:rPr>
          <w:rFonts w:hint="eastAsia"/>
          <w:sz w:val="24"/>
        </w:rPr>
        <w:t>速</w:t>
      </w:r>
      <w:r>
        <w:rPr>
          <w:rFonts w:hint="eastAsia"/>
          <w:sz w:val="24"/>
        </w:rPr>
        <w:t>率指数对报价也会产生一定的影响。</w:t>
      </w:r>
    </w:p>
    <w:p w:rsidR="00F33466" w:rsidRDefault="00F33466" w:rsidP="005960EB">
      <w:pPr>
        <w:autoSpaceDE w:val="0"/>
        <w:autoSpaceDN w:val="0"/>
        <w:adjustRightInd w:val="0"/>
        <w:spacing w:line="360" w:lineRule="auto"/>
        <w:ind w:firstLineChars="197" w:firstLine="473"/>
        <w:jc w:val="left"/>
        <w:rPr>
          <w:sz w:val="24"/>
        </w:rPr>
      </w:pPr>
      <w:r>
        <w:rPr>
          <w:rFonts w:hint="eastAsia"/>
          <w:sz w:val="24"/>
        </w:rPr>
        <w:t>附件</w:t>
      </w:r>
      <w:r>
        <w:rPr>
          <w:rFonts w:hint="eastAsia"/>
          <w:sz w:val="24"/>
        </w:rPr>
        <w:t>1</w:t>
      </w:r>
      <w:r>
        <w:rPr>
          <w:rFonts w:hint="eastAsia"/>
          <w:sz w:val="24"/>
        </w:rPr>
        <w:t>给出了</w:t>
      </w:r>
      <w:r>
        <w:rPr>
          <w:rFonts w:hint="eastAsia"/>
          <w:sz w:val="24"/>
        </w:rPr>
        <w:t>2013</w:t>
      </w:r>
      <w:r>
        <w:rPr>
          <w:rFonts w:hint="eastAsia"/>
          <w:sz w:val="24"/>
        </w:rPr>
        <w:t>年至</w:t>
      </w:r>
      <w:r>
        <w:rPr>
          <w:rFonts w:hint="eastAsia"/>
          <w:sz w:val="24"/>
        </w:rPr>
        <w:t>2014</w:t>
      </w:r>
      <w:r>
        <w:rPr>
          <w:rFonts w:hint="eastAsia"/>
          <w:sz w:val="24"/>
        </w:rPr>
        <w:t>年共</w:t>
      </w:r>
      <w:r>
        <w:rPr>
          <w:rFonts w:hint="eastAsia"/>
          <w:sz w:val="24"/>
        </w:rPr>
        <w:t>6</w:t>
      </w:r>
      <w:r>
        <w:rPr>
          <w:rFonts w:hint="eastAsia"/>
          <w:sz w:val="24"/>
        </w:rPr>
        <w:t>批货物发包清单，附件</w:t>
      </w:r>
      <w:r>
        <w:rPr>
          <w:rFonts w:hint="eastAsia"/>
          <w:sz w:val="24"/>
        </w:rPr>
        <w:t>2</w:t>
      </w:r>
      <w:r w:rsidR="00D73585">
        <w:rPr>
          <w:rFonts w:hint="eastAsia"/>
          <w:sz w:val="24"/>
        </w:rPr>
        <w:t>给出各批部分</w:t>
      </w:r>
      <w:r>
        <w:rPr>
          <w:rFonts w:hint="eastAsia"/>
          <w:sz w:val="24"/>
        </w:rPr>
        <w:t>包的价格得分情况。附件</w:t>
      </w:r>
      <w:r>
        <w:rPr>
          <w:rFonts w:hint="eastAsia"/>
          <w:sz w:val="24"/>
        </w:rPr>
        <w:t>3</w:t>
      </w:r>
      <w:r>
        <w:rPr>
          <w:rFonts w:hint="eastAsia"/>
          <w:sz w:val="24"/>
        </w:rPr>
        <w:t>给出了各种型号电容器最高限价。</w:t>
      </w:r>
    </w:p>
    <w:p w:rsidR="00F33466" w:rsidRDefault="005960EB" w:rsidP="00627255">
      <w:pPr>
        <w:spacing w:line="360" w:lineRule="auto"/>
        <w:ind w:firstLineChars="200" w:firstLine="480"/>
        <w:jc w:val="left"/>
        <w:rPr>
          <w:sz w:val="24"/>
        </w:rPr>
      </w:pPr>
      <w:r>
        <w:rPr>
          <w:rFonts w:hint="eastAsia"/>
          <w:sz w:val="24"/>
        </w:rPr>
        <w:t>1</w:t>
      </w:r>
      <w:r w:rsidR="00F33466">
        <w:rPr>
          <w:rFonts w:hint="eastAsia"/>
          <w:sz w:val="24"/>
        </w:rPr>
        <w:t>、</w:t>
      </w:r>
      <w:r w:rsidR="00D73585">
        <w:rPr>
          <w:rFonts w:hint="eastAsia"/>
          <w:sz w:val="24"/>
        </w:rPr>
        <w:t>试对国家电网</w:t>
      </w:r>
      <w:r w:rsidR="0084732E">
        <w:rPr>
          <w:rFonts w:hint="eastAsia"/>
          <w:sz w:val="24"/>
        </w:rPr>
        <w:t>采用的</w:t>
      </w:r>
      <w:r w:rsidR="0084732E" w:rsidRPr="0084732E">
        <w:rPr>
          <w:rFonts w:hint="eastAsia"/>
          <w:sz w:val="24"/>
        </w:rPr>
        <w:t>区间平均下浮双边曲线</w:t>
      </w:r>
      <w:r w:rsidR="0084732E">
        <w:rPr>
          <w:rFonts w:hint="eastAsia"/>
          <w:sz w:val="24"/>
        </w:rPr>
        <w:t>算</w:t>
      </w:r>
      <w:r w:rsidR="0084732E" w:rsidRPr="0084732E">
        <w:rPr>
          <w:rFonts w:hint="eastAsia"/>
          <w:sz w:val="24"/>
        </w:rPr>
        <w:t>法</w:t>
      </w:r>
      <w:r w:rsidR="00D73585">
        <w:rPr>
          <w:rFonts w:hint="eastAsia"/>
          <w:sz w:val="24"/>
        </w:rPr>
        <w:t>作全面</w:t>
      </w:r>
      <w:r>
        <w:rPr>
          <w:rFonts w:hint="eastAsia"/>
          <w:sz w:val="24"/>
        </w:rPr>
        <w:t>研究</w:t>
      </w:r>
      <w:r w:rsidR="00D73585">
        <w:rPr>
          <w:rFonts w:hint="eastAsia"/>
          <w:sz w:val="24"/>
        </w:rPr>
        <w:t>分析，给出对投标方有价值的研究结论。</w:t>
      </w:r>
      <w:r>
        <w:rPr>
          <w:rFonts w:hint="eastAsia"/>
          <w:sz w:val="24"/>
        </w:rPr>
        <w:t>特别，下浮系数及减分</w:t>
      </w:r>
      <w:r w:rsidR="008B30D4">
        <w:rPr>
          <w:rFonts w:hint="eastAsia"/>
          <w:sz w:val="24"/>
        </w:rPr>
        <w:t>速</w:t>
      </w:r>
      <w:r>
        <w:rPr>
          <w:rFonts w:hint="eastAsia"/>
          <w:sz w:val="24"/>
        </w:rPr>
        <w:t>率指数的调整对报价有何影响？</w:t>
      </w:r>
    </w:p>
    <w:p w:rsidR="00F33466" w:rsidRDefault="005960EB" w:rsidP="00627255">
      <w:pPr>
        <w:autoSpaceDE w:val="0"/>
        <w:autoSpaceDN w:val="0"/>
        <w:adjustRightInd w:val="0"/>
        <w:spacing w:line="360" w:lineRule="auto"/>
        <w:ind w:firstLineChars="200" w:firstLine="480"/>
        <w:jc w:val="left"/>
        <w:rPr>
          <w:sz w:val="24"/>
        </w:rPr>
      </w:pPr>
      <w:r>
        <w:rPr>
          <w:rFonts w:hint="eastAsia"/>
          <w:sz w:val="24"/>
        </w:rPr>
        <w:t>2</w:t>
      </w:r>
      <w:r w:rsidR="00F33466">
        <w:rPr>
          <w:rFonts w:hint="eastAsia"/>
          <w:sz w:val="24"/>
        </w:rPr>
        <w:t>、假设你负责合容电气公司的投标，请在对</w:t>
      </w:r>
      <w:r w:rsidR="00F33466">
        <w:rPr>
          <w:rFonts w:hint="eastAsia"/>
          <w:sz w:val="24"/>
        </w:rPr>
        <w:t>2013</w:t>
      </w:r>
      <w:r w:rsidR="00F33466">
        <w:rPr>
          <w:rFonts w:hint="eastAsia"/>
          <w:sz w:val="24"/>
        </w:rPr>
        <w:t>年第</w:t>
      </w:r>
      <w:r w:rsidR="00F33466">
        <w:rPr>
          <w:rFonts w:hint="eastAsia"/>
          <w:sz w:val="24"/>
        </w:rPr>
        <w:t>5</w:t>
      </w:r>
      <w:r w:rsidR="00F33466">
        <w:rPr>
          <w:rFonts w:hint="eastAsia"/>
          <w:sz w:val="24"/>
        </w:rPr>
        <w:t>批至</w:t>
      </w:r>
      <w:r w:rsidR="00F33466">
        <w:rPr>
          <w:rFonts w:hint="eastAsia"/>
          <w:sz w:val="24"/>
        </w:rPr>
        <w:t>2014</w:t>
      </w:r>
      <w:r w:rsidR="00F33466">
        <w:rPr>
          <w:rFonts w:hint="eastAsia"/>
          <w:sz w:val="24"/>
        </w:rPr>
        <w:t>年第</w:t>
      </w:r>
      <w:r w:rsidR="00F33466">
        <w:rPr>
          <w:rFonts w:hint="eastAsia"/>
          <w:sz w:val="24"/>
        </w:rPr>
        <w:t>3</w:t>
      </w:r>
      <w:r w:rsidR="00F33466">
        <w:rPr>
          <w:rFonts w:hint="eastAsia"/>
          <w:sz w:val="24"/>
        </w:rPr>
        <w:t>批共</w:t>
      </w:r>
      <w:r w:rsidR="00F33466">
        <w:rPr>
          <w:rFonts w:hint="eastAsia"/>
          <w:sz w:val="24"/>
        </w:rPr>
        <w:t>5</w:t>
      </w:r>
      <w:r w:rsidR="00F33466">
        <w:rPr>
          <w:rFonts w:hint="eastAsia"/>
          <w:sz w:val="24"/>
        </w:rPr>
        <w:t>批数据</w:t>
      </w:r>
      <w:r w:rsidR="001510EB">
        <w:rPr>
          <w:rFonts w:hint="eastAsia"/>
          <w:sz w:val="24"/>
        </w:rPr>
        <w:t>进行</w:t>
      </w:r>
      <w:r w:rsidR="00F33466">
        <w:rPr>
          <w:rFonts w:hint="eastAsia"/>
          <w:sz w:val="24"/>
        </w:rPr>
        <w:t>分析的基础上，建立该公司的报价模型以提高中标率。</w:t>
      </w:r>
    </w:p>
    <w:p w:rsidR="00F33466" w:rsidRPr="00415C95" w:rsidRDefault="005960EB" w:rsidP="00627255">
      <w:pPr>
        <w:autoSpaceDE w:val="0"/>
        <w:autoSpaceDN w:val="0"/>
        <w:adjustRightInd w:val="0"/>
        <w:spacing w:line="360" w:lineRule="auto"/>
        <w:ind w:firstLineChars="200" w:firstLine="480"/>
        <w:jc w:val="left"/>
        <w:rPr>
          <w:sz w:val="24"/>
        </w:rPr>
      </w:pPr>
      <w:r>
        <w:rPr>
          <w:rFonts w:hint="eastAsia"/>
          <w:sz w:val="24"/>
        </w:rPr>
        <w:t>3</w:t>
      </w:r>
      <w:r w:rsidR="00F33466">
        <w:rPr>
          <w:rFonts w:hint="eastAsia"/>
          <w:sz w:val="24"/>
        </w:rPr>
        <w:t>、根据你所建立的模型，给出合容电气对</w:t>
      </w:r>
      <w:r w:rsidR="00F33466">
        <w:rPr>
          <w:rFonts w:hint="eastAsia"/>
          <w:sz w:val="24"/>
        </w:rPr>
        <w:t>2014</w:t>
      </w:r>
      <w:r w:rsidR="00F33466">
        <w:rPr>
          <w:rFonts w:hint="eastAsia"/>
          <w:sz w:val="24"/>
        </w:rPr>
        <w:t>年第</w:t>
      </w:r>
      <w:r w:rsidR="00F33466">
        <w:rPr>
          <w:rFonts w:hint="eastAsia"/>
          <w:sz w:val="24"/>
        </w:rPr>
        <w:t>4</w:t>
      </w:r>
      <w:r w:rsidR="00F33466">
        <w:rPr>
          <w:rFonts w:hint="eastAsia"/>
          <w:sz w:val="24"/>
        </w:rPr>
        <w:t>批以下</w:t>
      </w:r>
      <w:r w:rsidR="0048267E">
        <w:rPr>
          <w:rFonts w:hint="eastAsia"/>
          <w:sz w:val="24"/>
        </w:rPr>
        <w:t>指定</w:t>
      </w:r>
      <w:r w:rsidR="00F33466">
        <w:rPr>
          <w:rFonts w:hint="eastAsia"/>
          <w:sz w:val="24"/>
        </w:rPr>
        <w:t>各包的具体</w:t>
      </w:r>
      <w:r w:rsidR="00F33466">
        <w:rPr>
          <w:rFonts w:hint="eastAsia"/>
          <w:sz w:val="24"/>
        </w:rPr>
        <w:lastRenderedPageBreak/>
        <w:t>报价：包</w:t>
      </w:r>
      <w:r w:rsidR="00F33466">
        <w:rPr>
          <w:rFonts w:hint="eastAsia"/>
          <w:sz w:val="24"/>
        </w:rPr>
        <w:t>24</w:t>
      </w:r>
      <w:r w:rsidR="00F33466">
        <w:rPr>
          <w:rFonts w:hint="eastAsia"/>
          <w:sz w:val="24"/>
        </w:rPr>
        <w:t>，</w:t>
      </w:r>
      <w:r w:rsidR="00A528BE">
        <w:rPr>
          <w:rFonts w:hint="eastAsia"/>
          <w:sz w:val="24"/>
        </w:rPr>
        <w:t>包</w:t>
      </w:r>
      <w:r w:rsidR="00A528BE">
        <w:rPr>
          <w:rFonts w:hint="eastAsia"/>
          <w:sz w:val="24"/>
        </w:rPr>
        <w:t>29</w:t>
      </w:r>
      <w:r w:rsidR="00A528BE">
        <w:rPr>
          <w:rFonts w:hint="eastAsia"/>
          <w:sz w:val="24"/>
        </w:rPr>
        <w:t>，</w:t>
      </w:r>
      <w:r w:rsidR="00F33466">
        <w:rPr>
          <w:rFonts w:hint="eastAsia"/>
          <w:sz w:val="24"/>
        </w:rPr>
        <w:t>包</w:t>
      </w:r>
      <w:r w:rsidR="00F33466">
        <w:rPr>
          <w:rFonts w:hint="eastAsia"/>
          <w:sz w:val="24"/>
        </w:rPr>
        <w:t>41</w:t>
      </w:r>
      <w:r w:rsidR="00F33466">
        <w:rPr>
          <w:rFonts w:hint="eastAsia"/>
          <w:sz w:val="24"/>
        </w:rPr>
        <w:t>，包</w:t>
      </w:r>
      <w:r w:rsidR="00F33466">
        <w:rPr>
          <w:rFonts w:hint="eastAsia"/>
          <w:sz w:val="24"/>
        </w:rPr>
        <w:t>42</w:t>
      </w:r>
      <w:r w:rsidR="00F33466">
        <w:rPr>
          <w:rFonts w:hint="eastAsia"/>
          <w:sz w:val="24"/>
        </w:rPr>
        <w:t>，包</w:t>
      </w:r>
      <w:r w:rsidR="00A528BE">
        <w:rPr>
          <w:rFonts w:hint="eastAsia"/>
          <w:sz w:val="24"/>
        </w:rPr>
        <w:t>,5</w:t>
      </w:r>
      <w:r w:rsidR="00F33466">
        <w:rPr>
          <w:rFonts w:hint="eastAsia"/>
          <w:sz w:val="24"/>
        </w:rPr>
        <w:t>7</w:t>
      </w:r>
      <w:r w:rsidR="00A528BE">
        <w:rPr>
          <w:rFonts w:hint="eastAsia"/>
          <w:sz w:val="24"/>
        </w:rPr>
        <w:t>，</w:t>
      </w:r>
      <w:r w:rsidR="00F33466">
        <w:rPr>
          <w:rFonts w:hint="eastAsia"/>
          <w:sz w:val="24"/>
        </w:rPr>
        <w:t>包</w:t>
      </w:r>
      <w:r w:rsidR="00F33466">
        <w:rPr>
          <w:rFonts w:hint="eastAsia"/>
          <w:sz w:val="24"/>
        </w:rPr>
        <w:t>62</w:t>
      </w:r>
      <w:r w:rsidR="00F33466">
        <w:rPr>
          <w:rFonts w:hint="eastAsia"/>
          <w:sz w:val="24"/>
        </w:rPr>
        <w:t>，包</w:t>
      </w:r>
      <w:r w:rsidR="00F33466">
        <w:rPr>
          <w:rFonts w:hint="eastAsia"/>
          <w:sz w:val="24"/>
        </w:rPr>
        <w:t>66</w:t>
      </w:r>
      <w:r w:rsidR="00F33466">
        <w:rPr>
          <w:rFonts w:hint="eastAsia"/>
          <w:sz w:val="24"/>
        </w:rPr>
        <w:t>，包</w:t>
      </w:r>
      <w:r w:rsidR="00F33466">
        <w:rPr>
          <w:rFonts w:hint="eastAsia"/>
          <w:sz w:val="24"/>
        </w:rPr>
        <w:t>71</w:t>
      </w:r>
      <w:r w:rsidR="00F33466">
        <w:rPr>
          <w:rFonts w:hint="eastAsia"/>
          <w:sz w:val="24"/>
        </w:rPr>
        <w:t>，</w:t>
      </w:r>
      <w:r w:rsidR="00D73585">
        <w:rPr>
          <w:rFonts w:hint="eastAsia"/>
          <w:sz w:val="24"/>
        </w:rPr>
        <w:t>包</w:t>
      </w:r>
      <w:r w:rsidR="00D73585">
        <w:rPr>
          <w:rFonts w:hint="eastAsia"/>
          <w:sz w:val="24"/>
        </w:rPr>
        <w:t>74</w:t>
      </w:r>
      <w:r w:rsidR="00D73585">
        <w:rPr>
          <w:rFonts w:hint="eastAsia"/>
          <w:sz w:val="24"/>
        </w:rPr>
        <w:t>，</w:t>
      </w:r>
      <w:r w:rsidR="00F33466">
        <w:rPr>
          <w:rFonts w:hint="eastAsia"/>
          <w:sz w:val="24"/>
        </w:rPr>
        <w:t>包</w:t>
      </w:r>
      <w:r w:rsidR="00F33466">
        <w:rPr>
          <w:rFonts w:hint="eastAsia"/>
          <w:sz w:val="24"/>
        </w:rPr>
        <w:t>76</w:t>
      </w:r>
      <w:r w:rsidR="00F33466">
        <w:rPr>
          <w:rFonts w:hint="eastAsia"/>
          <w:sz w:val="24"/>
        </w:rPr>
        <w:t>，包</w:t>
      </w:r>
      <w:r w:rsidR="00F33466">
        <w:rPr>
          <w:rFonts w:hint="eastAsia"/>
          <w:sz w:val="24"/>
        </w:rPr>
        <w:t>84</w:t>
      </w:r>
      <w:r w:rsidR="00D73585">
        <w:rPr>
          <w:rFonts w:hint="eastAsia"/>
          <w:sz w:val="24"/>
        </w:rPr>
        <w:t>，包</w:t>
      </w:r>
      <w:r w:rsidR="00D73585">
        <w:rPr>
          <w:rFonts w:hint="eastAsia"/>
          <w:sz w:val="24"/>
        </w:rPr>
        <w:t>87</w:t>
      </w:r>
      <w:r w:rsidR="00F33466">
        <w:rPr>
          <w:rFonts w:hint="eastAsia"/>
          <w:sz w:val="24"/>
        </w:rPr>
        <w:t>。</w:t>
      </w:r>
    </w:p>
    <w:p w:rsidR="00F33466" w:rsidRPr="00790590" w:rsidRDefault="005960EB" w:rsidP="00627255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4</w:t>
      </w:r>
      <w:r w:rsidR="00F33466" w:rsidRPr="00790590">
        <w:rPr>
          <w:rFonts w:hint="eastAsia"/>
          <w:sz w:val="24"/>
        </w:rPr>
        <w:t>、</w:t>
      </w:r>
      <w:r w:rsidR="00F33466">
        <w:rPr>
          <w:rFonts w:hint="eastAsia"/>
          <w:sz w:val="24"/>
        </w:rPr>
        <w:t>请在</w:t>
      </w:r>
      <w:r w:rsidR="00565DB7">
        <w:rPr>
          <w:rFonts w:hint="eastAsia"/>
          <w:sz w:val="24"/>
        </w:rPr>
        <w:t>分析</w:t>
      </w:r>
      <w:r w:rsidR="00F33466">
        <w:rPr>
          <w:rFonts w:hint="eastAsia"/>
          <w:sz w:val="24"/>
        </w:rPr>
        <w:t>研究的基础上给出关于国家电网招投标方法改革的合理化建议。</w:t>
      </w:r>
    </w:p>
    <w:p w:rsidR="00F33466" w:rsidRDefault="00F33466" w:rsidP="00F33466">
      <w:pPr>
        <w:spacing w:line="360" w:lineRule="auto"/>
      </w:pPr>
    </w:p>
    <w:p w:rsidR="00F33466" w:rsidRDefault="00F33466" w:rsidP="00F33466">
      <w:pPr>
        <w:spacing w:line="360" w:lineRule="auto"/>
      </w:pPr>
    </w:p>
    <w:p w:rsidR="00F33466" w:rsidRDefault="00F33466" w:rsidP="00F33466">
      <w:pPr>
        <w:spacing w:line="360" w:lineRule="auto"/>
      </w:pPr>
    </w:p>
    <w:p w:rsidR="005960EB" w:rsidRDefault="005960EB" w:rsidP="00F33466">
      <w:pPr>
        <w:spacing w:line="360" w:lineRule="auto"/>
      </w:pPr>
    </w:p>
    <w:p w:rsidR="005960EB" w:rsidRDefault="005960EB" w:rsidP="00F33466">
      <w:pPr>
        <w:spacing w:line="360" w:lineRule="auto"/>
      </w:pPr>
    </w:p>
    <w:p w:rsidR="00A528BE" w:rsidRDefault="00A528BE" w:rsidP="00F33466">
      <w:pPr>
        <w:spacing w:line="360" w:lineRule="auto"/>
      </w:pPr>
    </w:p>
    <w:p w:rsidR="00A528BE" w:rsidRDefault="00A528BE" w:rsidP="00F33466">
      <w:pPr>
        <w:spacing w:line="360" w:lineRule="auto"/>
      </w:pPr>
    </w:p>
    <w:p w:rsidR="00A528BE" w:rsidRDefault="00A528BE" w:rsidP="00F33466">
      <w:pPr>
        <w:spacing w:line="360" w:lineRule="auto"/>
      </w:pPr>
    </w:p>
    <w:p w:rsidR="00A528BE" w:rsidRDefault="00A528BE" w:rsidP="00F33466">
      <w:pPr>
        <w:spacing w:line="360" w:lineRule="auto"/>
      </w:pPr>
    </w:p>
    <w:p w:rsidR="00A528BE" w:rsidRDefault="00A528BE" w:rsidP="00F33466">
      <w:pPr>
        <w:spacing w:line="360" w:lineRule="auto"/>
      </w:pPr>
    </w:p>
    <w:p w:rsidR="00A528BE" w:rsidRDefault="00A528BE" w:rsidP="00F33466">
      <w:pPr>
        <w:spacing w:line="360" w:lineRule="auto"/>
      </w:pPr>
    </w:p>
    <w:p w:rsidR="00A528BE" w:rsidRDefault="00A528BE" w:rsidP="00F33466">
      <w:pPr>
        <w:spacing w:line="360" w:lineRule="auto"/>
      </w:pPr>
    </w:p>
    <w:p w:rsidR="00A528BE" w:rsidRDefault="00A528BE" w:rsidP="00F33466">
      <w:pPr>
        <w:spacing w:line="360" w:lineRule="auto"/>
      </w:pPr>
    </w:p>
    <w:p w:rsidR="00F33466" w:rsidRPr="00A461A1" w:rsidRDefault="00F33466" w:rsidP="00F33466">
      <w:pPr>
        <w:spacing w:line="360" w:lineRule="auto"/>
        <w:rPr>
          <w:b/>
        </w:rPr>
      </w:pPr>
      <w:r>
        <w:rPr>
          <w:rFonts w:hint="eastAsia"/>
          <w:b/>
        </w:rPr>
        <w:t>附录说明</w:t>
      </w:r>
      <w:r w:rsidRPr="00A461A1">
        <w:rPr>
          <w:rFonts w:hint="eastAsia"/>
          <w:b/>
        </w:rPr>
        <w:t>：</w:t>
      </w:r>
    </w:p>
    <w:p w:rsidR="00F33466" w:rsidRDefault="00F33466" w:rsidP="00F33466">
      <w:pPr>
        <w:spacing w:line="360" w:lineRule="auto"/>
      </w:pPr>
    </w:p>
    <w:p w:rsidR="00F33466" w:rsidRPr="00184145" w:rsidRDefault="00F33466" w:rsidP="00F33466">
      <w:pPr>
        <w:adjustRightInd w:val="0"/>
        <w:snapToGrid w:val="0"/>
        <w:spacing w:line="360" w:lineRule="auto"/>
        <w:rPr>
          <w:szCs w:val="21"/>
        </w:rPr>
      </w:pPr>
      <w:r w:rsidRPr="005F78AD">
        <w:rPr>
          <w:rFonts w:hint="eastAsia"/>
          <w:b/>
          <w:szCs w:val="21"/>
        </w:rPr>
        <w:t>1</w:t>
      </w:r>
      <w:r w:rsidRPr="00184145">
        <w:rPr>
          <w:rFonts w:hint="eastAsia"/>
          <w:szCs w:val="21"/>
        </w:rPr>
        <w:t>、</w:t>
      </w:r>
      <w:r w:rsidRPr="00184145">
        <w:rPr>
          <w:rFonts w:hint="eastAsia"/>
          <w:b/>
          <w:szCs w:val="21"/>
        </w:rPr>
        <w:t>区间平均下浮双边曲线算法：</w:t>
      </w:r>
    </w:p>
    <w:p w:rsidR="00F33466" w:rsidRPr="00B460DD" w:rsidRDefault="00F33466" w:rsidP="00F33466">
      <w:pPr>
        <w:adjustRightInd w:val="0"/>
        <w:snapToGrid w:val="0"/>
        <w:spacing w:line="360" w:lineRule="auto"/>
        <w:ind w:firstLineChars="196" w:firstLine="412"/>
        <w:jc w:val="left"/>
        <w:rPr>
          <w:szCs w:val="21"/>
        </w:rPr>
      </w:pPr>
      <w:r w:rsidRPr="00B460DD">
        <w:rPr>
          <w:rFonts w:hint="eastAsia"/>
          <w:szCs w:val="21"/>
        </w:rPr>
        <w:t>计算基准价的区间设定为全部有效投标报价算术平均值</w:t>
      </w:r>
      <w:r w:rsidRPr="00B460DD">
        <w:rPr>
          <w:rFonts w:hint="eastAsia"/>
          <w:szCs w:val="21"/>
        </w:rPr>
        <w:t>A</w:t>
      </w:r>
      <w:r w:rsidRPr="00B460DD">
        <w:rPr>
          <w:rFonts w:hint="eastAsia"/>
          <w:szCs w:val="21"/>
        </w:rPr>
        <w:t>的</w:t>
      </w:r>
      <w:r w:rsidRPr="00B460DD">
        <w:rPr>
          <w:rFonts w:hint="eastAsia"/>
          <w:szCs w:val="21"/>
        </w:rPr>
        <w:t>80%</w:t>
      </w:r>
      <w:r w:rsidRPr="00B460DD">
        <w:rPr>
          <w:rFonts w:hint="eastAsia"/>
          <w:szCs w:val="21"/>
        </w:rPr>
        <w:t>～</w:t>
      </w:r>
      <w:r w:rsidRPr="00B460DD">
        <w:rPr>
          <w:rFonts w:hint="eastAsia"/>
          <w:szCs w:val="21"/>
        </w:rPr>
        <w:t>115%</w:t>
      </w:r>
      <w:r w:rsidRPr="00B460DD">
        <w:rPr>
          <w:rFonts w:hint="eastAsia"/>
          <w:szCs w:val="21"/>
        </w:rPr>
        <w:t>，以此范围内的有效投标报价计算算术平均值</w:t>
      </w:r>
      <w:r w:rsidRPr="00B460DD">
        <w:rPr>
          <w:rFonts w:hint="eastAsia"/>
          <w:szCs w:val="21"/>
        </w:rPr>
        <w:t>A1</w:t>
      </w:r>
      <w:r w:rsidRPr="00B460DD">
        <w:rPr>
          <w:rFonts w:hint="eastAsia"/>
          <w:szCs w:val="21"/>
        </w:rPr>
        <w:t>，</w:t>
      </w:r>
      <w:r w:rsidRPr="00B460DD">
        <w:rPr>
          <w:rFonts w:hint="eastAsia"/>
          <w:szCs w:val="21"/>
        </w:rPr>
        <w:t>A1</w:t>
      </w:r>
      <w:r w:rsidRPr="00B460DD">
        <w:rPr>
          <w:rFonts w:hint="eastAsia"/>
          <w:szCs w:val="21"/>
        </w:rPr>
        <w:t>×（</w:t>
      </w:r>
      <w:r w:rsidRPr="00B460DD">
        <w:rPr>
          <w:rFonts w:hint="eastAsia"/>
          <w:szCs w:val="21"/>
        </w:rPr>
        <w:t>1-a</w:t>
      </w:r>
      <w:r w:rsidRPr="00B460DD">
        <w:rPr>
          <w:rFonts w:hint="eastAsia"/>
          <w:szCs w:val="21"/>
        </w:rPr>
        <w:t>）</w:t>
      </w:r>
      <w:r>
        <w:rPr>
          <w:rFonts w:hint="eastAsia"/>
          <w:szCs w:val="21"/>
        </w:rPr>
        <w:t xml:space="preserve">= </w:t>
      </w:r>
      <w:r w:rsidRPr="00B460DD">
        <w:rPr>
          <w:rFonts w:hint="eastAsia"/>
          <w:szCs w:val="21"/>
        </w:rPr>
        <w:t>B</w:t>
      </w:r>
      <w:r w:rsidRPr="00B460DD">
        <w:rPr>
          <w:rFonts w:hint="eastAsia"/>
          <w:szCs w:val="21"/>
        </w:rPr>
        <w:t>作为基准价</w:t>
      </w:r>
      <w:r>
        <w:rPr>
          <w:rFonts w:hint="eastAsia"/>
          <w:szCs w:val="21"/>
        </w:rPr>
        <w:t>，</w:t>
      </w:r>
      <w:r w:rsidRPr="00B460DD">
        <w:rPr>
          <w:rFonts w:hint="eastAsia"/>
          <w:szCs w:val="21"/>
        </w:rPr>
        <w:t>a</w:t>
      </w:r>
      <w:r>
        <w:rPr>
          <w:rFonts w:hint="eastAsia"/>
          <w:szCs w:val="21"/>
        </w:rPr>
        <w:t>为下浮比例（或者下浮系数）</w:t>
      </w:r>
      <w:r w:rsidRPr="00B460DD">
        <w:rPr>
          <w:rFonts w:hint="eastAsia"/>
          <w:szCs w:val="21"/>
        </w:rPr>
        <w:t>。如果全部有效报价均在</w:t>
      </w:r>
      <w:r w:rsidRPr="00B460DD">
        <w:rPr>
          <w:rFonts w:hint="eastAsia"/>
          <w:szCs w:val="21"/>
        </w:rPr>
        <w:t>A</w:t>
      </w:r>
      <w:r w:rsidRPr="00B460DD">
        <w:rPr>
          <w:rFonts w:hint="eastAsia"/>
          <w:szCs w:val="21"/>
        </w:rPr>
        <w:t>的</w:t>
      </w:r>
      <w:r w:rsidRPr="00B460DD">
        <w:rPr>
          <w:rFonts w:hint="eastAsia"/>
          <w:szCs w:val="21"/>
        </w:rPr>
        <w:t>80%</w:t>
      </w:r>
      <w:r w:rsidRPr="00B460DD">
        <w:rPr>
          <w:rFonts w:hint="eastAsia"/>
          <w:szCs w:val="21"/>
        </w:rPr>
        <w:t>～</w:t>
      </w:r>
      <w:r w:rsidRPr="00B460DD">
        <w:rPr>
          <w:rFonts w:hint="eastAsia"/>
          <w:szCs w:val="21"/>
        </w:rPr>
        <w:t>115%</w:t>
      </w:r>
      <w:r w:rsidRPr="00B460DD">
        <w:rPr>
          <w:rFonts w:hint="eastAsia"/>
          <w:szCs w:val="21"/>
        </w:rPr>
        <w:t>区</w:t>
      </w:r>
      <w:r>
        <w:rPr>
          <w:rFonts w:hint="eastAsia"/>
          <w:szCs w:val="21"/>
        </w:rPr>
        <w:t>间</w:t>
      </w:r>
      <w:r w:rsidRPr="00B460DD">
        <w:rPr>
          <w:rFonts w:hint="eastAsia"/>
          <w:szCs w:val="21"/>
        </w:rPr>
        <w:t>外，则直接以</w:t>
      </w:r>
      <w:r w:rsidRPr="00B460DD">
        <w:rPr>
          <w:rFonts w:hint="eastAsia"/>
          <w:szCs w:val="21"/>
        </w:rPr>
        <w:t>A</w:t>
      </w:r>
      <w:r w:rsidRPr="00B460DD">
        <w:rPr>
          <w:rFonts w:hint="eastAsia"/>
          <w:szCs w:val="21"/>
        </w:rPr>
        <w:t>×</w:t>
      </w:r>
      <w:r w:rsidRPr="00B460DD">
        <w:rPr>
          <w:rFonts w:hint="eastAsia"/>
          <w:szCs w:val="21"/>
        </w:rPr>
        <w:t>(1-a)</w:t>
      </w:r>
      <w:r w:rsidRPr="00B460DD">
        <w:rPr>
          <w:rFonts w:hint="eastAsia"/>
          <w:szCs w:val="21"/>
        </w:rPr>
        <w:t>为基准价</w:t>
      </w:r>
      <w:r w:rsidRPr="00B460DD">
        <w:rPr>
          <w:rFonts w:hint="eastAsia"/>
          <w:szCs w:val="21"/>
        </w:rPr>
        <w:t>B</w:t>
      </w:r>
      <w:r w:rsidRPr="00B460DD">
        <w:rPr>
          <w:rFonts w:hint="eastAsia"/>
          <w:szCs w:val="21"/>
        </w:rPr>
        <w:t>。</w:t>
      </w:r>
    </w:p>
    <w:p w:rsidR="00F33466" w:rsidRDefault="00F33466" w:rsidP="008B30D4">
      <w:pPr>
        <w:spacing w:line="360" w:lineRule="auto"/>
        <w:ind w:firstLineChars="200" w:firstLine="420"/>
        <w:rPr>
          <w:szCs w:val="21"/>
        </w:rPr>
      </w:pPr>
      <w:r w:rsidRPr="00B460DD">
        <w:rPr>
          <w:rFonts w:hint="eastAsia"/>
          <w:szCs w:val="21"/>
        </w:rPr>
        <w:t>计算价格得分：当投标人的评标总价</w:t>
      </w:r>
      <w:r w:rsidR="005960EB">
        <w:rPr>
          <w:rFonts w:hint="eastAsia"/>
          <w:szCs w:val="21"/>
        </w:rPr>
        <w:t>P</w:t>
      </w:r>
      <w:r w:rsidR="008B30D4">
        <w:rPr>
          <w:rFonts w:ascii="宋体" w:hAnsi="宋体" w:hint="eastAsia"/>
          <w:szCs w:val="21"/>
        </w:rPr>
        <w:t>≥</w:t>
      </w:r>
      <w:r w:rsidRPr="00B460DD">
        <w:rPr>
          <w:rFonts w:hint="eastAsia"/>
          <w:szCs w:val="21"/>
        </w:rPr>
        <w:t>基准价</w:t>
      </w:r>
      <w:r w:rsidRPr="00B460DD">
        <w:rPr>
          <w:rFonts w:hint="eastAsia"/>
          <w:szCs w:val="21"/>
        </w:rPr>
        <w:t>B</w:t>
      </w:r>
      <w:r w:rsidRPr="00B460DD">
        <w:rPr>
          <w:rFonts w:hint="eastAsia"/>
          <w:szCs w:val="21"/>
        </w:rPr>
        <w:t>，得分</w:t>
      </w:r>
      <w:r w:rsidRPr="00B460DD">
        <w:rPr>
          <w:rFonts w:hint="eastAsia"/>
          <w:szCs w:val="21"/>
        </w:rPr>
        <w:t>=</w:t>
      </w:r>
      <w:r w:rsidRPr="00B460DD">
        <w:rPr>
          <w:rFonts w:hint="eastAsia"/>
          <w:szCs w:val="21"/>
        </w:rPr>
        <w:t>（基准价</w:t>
      </w:r>
      <w:r w:rsidRPr="00B460DD">
        <w:rPr>
          <w:rFonts w:hint="eastAsia"/>
          <w:szCs w:val="21"/>
        </w:rPr>
        <w:t>B/</w:t>
      </w:r>
      <w:r w:rsidRPr="00B460DD">
        <w:rPr>
          <w:rFonts w:hint="eastAsia"/>
          <w:szCs w:val="21"/>
        </w:rPr>
        <w:t>评标总价</w:t>
      </w:r>
      <w:r w:rsidRPr="00B460DD">
        <w:rPr>
          <w:rFonts w:hint="eastAsia"/>
          <w:szCs w:val="21"/>
        </w:rPr>
        <w:t>P</w:t>
      </w:r>
      <w:r w:rsidRPr="00B460DD">
        <w:rPr>
          <w:rFonts w:hint="eastAsia"/>
          <w:szCs w:val="21"/>
        </w:rPr>
        <w:t>）</w:t>
      </w:r>
      <w:r w:rsidRPr="00B460DD">
        <w:rPr>
          <w:rFonts w:hint="eastAsia"/>
          <w:szCs w:val="21"/>
          <w:vertAlign w:val="superscript"/>
        </w:rPr>
        <w:t>n</w:t>
      </w:r>
      <w:r w:rsidRPr="00B460DD">
        <w:rPr>
          <w:rFonts w:hint="eastAsia"/>
          <w:szCs w:val="21"/>
        </w:rPr>
        <w:t>×</w:t>
      </w:r>
      <w:r w:rsidRPr="00B460DD">
        <w:rPr>
          <w:rFonts w:hint="eastAsia"/>
          <w:szCs w:val="21"/>
        </w:rPr>
        <w:t>100</w:t>
      </w:r>
      <w:r w:rsidRPr="00B460DD">
        <w:rPr>
          <w:rFonts w:hint="eastAsia"/>
          <w:szCs w:val="21"/>
        </w:rPr>
        <w:t>；当投标人的评标总价</w:t>
      </w:r>
      <w:r w:rsidRPr="00B460DD">
        <w:rPr>
          <w:rFonts w:hint="eastAsia"/>
          <w:szCs w:val="21"/>
        </w:rPr>
        <w:t>P&lt;</w:t>
      </w:r>
      <w:r w:rsidRPr="00B460DD">
        <w:rPr>
          <w:rFonts w:hint="eastAsia"/>
          <w:szCs w:val="21"/>
        </w:rPr>
        <w:t>基准价</w:t>
      </w:r>
      <w:r w:rsidRPr="00B460DD">
        <w:rPr>
          <w:rFonts w:hint="eastAsia"/>
          <w:szCs w:val="21"/>
        </w:rPr>
        <w:t>B</w:t>
      </w:r>
      <w:r w:rsidRPr="00B460DD">
        <w:rPr>
          <w:rFonts w:hint="eastAsia"/>
          <w:szCs w:val="21"/>
        </w:rPr>
        <w:t>，得分</w:t>
      </w:r>
      <w:r w:rsidRPr="00B460DD">
        <w:rPr>
          <w:rFonts w:hint="eastAsia"/>
          <w:szCs w:val="21"/>
        </w:rPr>
        <w:t>=</w:t>
      </w:r>
      <w:r w:rsidRPr="00B460DD">
        <w:rPr>
          <w:rFonts w:hint="eastAsia"/>
          <w:szCs w:val="21"/>
        </w:rPr>
        <w:t>（评标总价</w:t>
      </w:r>
      <w:r w:rsidRPr="00B460DD">
        <w:rPr>
          <w:rFonts w:hint="eastAsia"/>
          <w:szCs w:val="21"/>
        </w:rPr>
        <w:t>P/</w:t>
      </w:r>
      <w:r w:rsidRPr="00B460DD">
        <w:rPr>
          <w:rFonts w:hint="eastAsia"/>
          <w:szCs w:val="21"/>
        </w:rPr>
        <w:t>基准价</w:t>
      </w:r>
      <w:r w:rsidRPr="00B460DD">
        <w:rPr>
          <w:rFonts w:hint="eastAsia"/>
          <w:szCs w:val="21"/>
        </w:rPr>
        <w:t>B</w:t>
      </w:r>
      <w:r w:rsidRPr="00B460DD">
        <w:rPr>
          <w:rFonts w:hint="eastAsia"/>
          <w:szCs w:val="21"/>
        </w:rPr>
        <w:t>）</w:t>
      </w:r>
      <w:r w:rsidRPr="00B460DD">
        <w:rPr>
          <w:rFonts w:hint="eastAsia"/>
          <w:szCs w:val="21"/>
          <w:vertAlign w:val="superscript"/>
        </w:rPr>
        <w:t>m</w:t>
      </w:r>
      <w:r w:rsidRPr="00B460DD">
        <w:rPr>
          <w:rFonts w:hint="eastAsia"/>
          <w:szCs w:val="21"/>
        </w:rPr>
        <w:t>×</w:t>
      </w:r>
      <w:r w:rsidRPr="00B460DD">
        <w:rPr>
          <w:rFonts w:hint="eastAsia"/>
          <w:szCs w:val="21"/>
        </w:rPr>
        <w:t>100</w:t>
      </w:r>
      <w:r w:rsidRPr="00B460DD">
        <w:rPr>
          <w:rFonts w:hint="eastAsia"/>
          <w:szCs w:val="21"/>
        </w:rPr>
        <w:t>。</w:t>
      </w:r>
    </w:p>
    <w:p w:rsidR="00F33466" w:rsidRDefault="00F33466" w:rsidP="00F33466">
      <w:pPr>
        <w:spacing w:line="360" w:lineRule="auto"/>
        <w:ind w:firstLineChars="150" w:firstLine="315"/>
        <w:rPr>
          <w:szCs w:val="21"/>
        </w:rPr>
      </w:pPr>
    </w:p>
    <w:p w:rsidR="00F33466" w:rsidRPr="00C65F5B" w:rsidRDefault="00F33466" w:rsidP="00F33466">
      <w:pPr>
        <w:spacing w:line="360" w:lineRule="auto"/>
        <w:ind w:firstLineChars="150" w:firstLine="316"/>
        <w:jc w:val="center"/>
        <w:rPr>
          <w:b/>
          <w:szCs w:val="21"/>
        </w:rPr>
      </w:pPr>
      <w:r w:rsidRPr="00C65F5B">
        <w:rPr>
          <w:rFonts w:hint="eastAsia"/>
          <w:b/>
          <w:szCs w:val="21"/>
        </w:rPr>
        <w:t>2013</w:t>
      </w:r>
      <w:r w:rsidRPr="00C65F5B">
        <w:rPr>
          <w:rFonts w:hint="eastAsia"/>
          <w:b/>
          <w:szCs w:val="21"/>
        </w:rPr>
        <w:t>年第五批至</w:t>
      </w:r>
      <w:r w:rsidRPr="00C65F5B">
        <w:rPr>
          <w:rFonts w:hint="eastAsia"/>
          <w:b/>
          <w:szCs w:val="21"/>
        </w:rPr>
        <w:t>2014</w:t>
      </w:r>
      <w:r w:rsidR="008B30D4">
        <w:rPr>
          <w:rFonts w:hint="eastAsia"/>
          <w:b/>
          <w:szCs w:val="21"/>
        </w:rPr>
        <w:t>年第四批价格下浮比例（下浮系数</w:t>
      </w:r>
      <w:r w:rsidRPr="00C65F5B">
        <w:rPr>
          <w:rFonts w:hint="eastAsia"/>
          <w:b/>
          <w:szCs w:val="21"/>
        </w:rPr>
        <w:t>）和减分速率指数</w:t>
      </w:r>
    </w:p>
    <w:p w:rsidR="00F33466" w:rsidRPr="00637DB8" w:rsidRDefault="00F33466" w:rsidP="00F33466">
      <w:pPr>
        <w:spacing w:line="360" w:lineRule="auto"/>
      </w:pPr>
      <w:r w:rsidRPr="00637DB8">
        <w:rPr>
          <w:rFonts w:hint="eastAsia"/>
        </w:rPr>
        <w:t>2013</w:t>
      </w:r>
      <w:r w:rsidRPr="00637DB8">
        <w:rPr>
          <w:rFonts w:hint="eastAsia"/>
        </w:rPr>
        <w:t>年第五</w:t>
      </w:r>
      <w:r>
        <w:rPr>
          <w:rFonts w:hint="eastAsia"/>
        </w:rPr>
        <w:t>、六</w:t>
      </w:r>
      <w:r w:rsidRPr="00637DB8">
        <w:rPr>
          <w:rFonts w:hint="eastAsia"/>
        </w:rPr>
        <w:t>批</w:t>
      </w:r>
    </w:p>
    <w:tbl>
      <w:tblPr>
        <w:tblW w:w="8735" w:type="dxa"/>
        <w:jc w:val="center"/>
        <w:tblInd w:w="4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305"/>
        <w:gridCol w:w="1787"/>
        <w:gridCol w:w="1448"/>
        <w:gridCol w:w="2195"/>
      </w:tblGrid>
      <w:tr w:rsidR="00F33466" w:rsidRPr="00637DB8" w:rsidTr="0066485D">
        <w:trPr>
          <w:trHeight w:val="210"/>
          <w:jc w:val="center"/>
        </w:trPr>
        <w:tc>
          <w:tcPr>
            <w:tcW w:w="3305" w:type="dxa"/>
            <w:vMerge w:val="restart"/>
            <w:tcBorders>
              <w:top w:val="single" w:sz="4" w:space="0" w:color="auto"/>
              <w:right w:val="dashSmallGap" w:sz="4" w:space="0" w:color="auto"/>
            </w:tcBorders>
            <w:vAlign w:val="center"/>
          </w:tcPr>
          <w:p w:rsidR="00F33466" w:rsidRPr="00637DB8" w:rsidRDefault="00F33466" w:rsidP="00F33466">
            <w:pPr>
              <w:adjustRightInd w:val="0"/>
              <w:snapToGrid w:val="0"/>
              <w:spacing w:line="360" w:lineRule="auto"/>
              <w:jc w:val="center"/>
              <w:rPr>
                <w:b/>
                <w:sz w:val="18"/>
                <w:szCs w:val="18"/>
              </w:rPr>
            </w:pPr>
            <w:r w:rsidRPr="00637DB8">
              <w:rPr>
                <w:rFonts w:hint="eastAsia"/>
                <w:b/>
                <w:sz w:val="18"/>
                <w:szCs w:val="18"/>
              </w:rPr>
              <w:t>货物种类</w:t>
            </w:r>
          </w:p>
        </w:tc>
        <w:tc>
          <w:tcPr>
            <w:tcW w:w="5430" w:type="dxa"/>
            <w:gridSpan w:val="3"/>
            <w:tcBorders>
              <w:top w:val="single" w:sz="4" w:space="0" w:color="auto"/>
              <w:left w:val="dashSmallGap" w:sz="4" w:space="0" w:color="auto"/>
              <w:bottom w:val="dashSmallGap" w:sz="4" w:space="0" w:color="auto"/>
            </w:tcBorders>
            <w:vAlign w:val="center"/>
          </w:tcPr>
          <w:p w:rsidR="00F33466" w:rsidRPr="00637DB8" w:rsidRDefault="00F33466" w:rsidP="00F33466">
            <w:pPr>
              <w:adjustRightInd w:val="0"/>
              <w:snapToGrid w:val="0"/>
              <w:spacing w:line="360" w:lineRule="auto"/>
              <w:jc w:val="center"/>
              <w:rPr>
                <w:b/>
                <w:sz w:val="18"/>
                <w:szCs w:val="18"/>
              </w:rPr>
            </w:pPr>
            <w:r w:rsidRPr="00637DB8">
              <w:rPr>
                <w:rFonts w:ascii="宋体" w:hAnsi="宋体" w:cs="宋体" w:hint="eastAsia"/>
                <w:b/>
                <w:bCs/>
                <w:kern w:val="0"/>
                <w:sz w:val="18"/>
                <w:szCs w:val="18"/>
              </w:rPr>
              <w:t>价格下浮基准点和减分速率指数</w:t>
            </w:r>
          </w:p>
        </w:tc>
      </w:tr>
      <w:tr w:rsidR="00F33466" w:rsidRPr="00637DB8" w:rsidTr="0066485D">
        <w:trPr>
          <w:trHeight w:val="364"/>
          <w:jc w:val="center"/>
        </w:trPr>
        <w:tc>
          <w:tcPr>
            <w:tcW w:w="3305" w:type="dxa"/>
            <w:vMerge/>
            <w:tcBorders>
              <w:bottom w:val="dashSmallGap" w:sz="4" w:space="0" w:color="auto"/>
              <w:right w:val="dashSmallGap" w:sz="4" w:space="0" w:color="auto"/>
            </w:tcBorders>
            <w:vAlign w:val="center"/>
          </w:tcPr>
          <w:p w:rsidR="00F33466" w:rsidRPr="00637DB8" w:rsidRDefault="00F33466" w:rsidP="00F33466">
            <w:pPr>
              <w:adjustRightInd w:val="0"/>
              <w:snapToGrid w:val="0"/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787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</w:tcBorders>
            <w:vAlign w:val="center"/>
          </w:tcPr>
          <w:p w:rsidR="00F33466" w:rsidRPr="00637DB8" w:rsidRDefault="00F33466" w:rsidP="00F33466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 w:rsidRPr="00637DB8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a</w:t>
            </w:r>
          </w:p>
        </w:tc>
        <w:tc>
          <w:tcPr>
            <w:tcW w:w="1448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:rsidR="00F33466" w:rsidRPr="00637DB8" w:rsidRDefault="00F33466" w:rsidP="00F33466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 w:rsidRPr="00637DB8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m</w:t>
            </w:r>
          </w:p>
        </w:tc>
        <w:tc>
          <w:tcPr>
            <w:tcW w:w="2195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</w:tcBorders>
            <w:vAlign w:val="center"/>
          </w:tcPr>
          <w:p w:rsidR="00F33466" w:rsidRPr="00637DB8" w:rsidRDefault="00F33466" w:rsidP="00F33466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 w:rsidRPr="00637DB8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n</w:t>
            </w:r>
          </w:p>
        </w:tc>
      </w:tr>
      <w:tr w:rsidR="00F33466" w:rsidRPr="00637DB8" w:rsidTr="0066485D">
        <w:trPr>
          <w:trHeight w:val="20"/>
          <w:jc w:val="center"/>
        </w:trPr>
        <w:tc>
          <w:tcPr>
            <w:tcW w:w="3305" w:type="dxa"/>
            <w:tcBorders>
              <w:top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F33466" w:rsidRPr="00637DB8" w:rsidRDefault="00F33466" w:rsidP="00F33466">
            <w:pPr>
              <w:spacing w:line="360" w:lineRule="auto"/>
              <w:jc w:val="center"/>
            </w:pPr>
            <w:r w:rsidRPr="00637DB8">
              <w:rPr>
                <w:rFonts w:hint="eastAsia"/>
              </w:rPr>
              <w:t>框架式电容器成套装置</w:t>
            </w:r>
          </w:p>
        </w:tc>
        <w:tc>
          <w:tcPr>
            <w:tcW w:w="1787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</w:tcBorders>
          </w:tcPr>
          <w:p w:rsidR="00F33466" w:rsidRPr="00637DB8" w:rsidRDefault="00F33466" w:rsidP="00F33466">
            <w:pPr>
              <w:spacing w:line="360" w:lineRule="auto"/>
              <w:jc w:val="center"/>
            </w:pPr>
            <w:r w:rsidRPr="00637DB8">
              <w:rPr>
                <w:rFonts w:hint="eastAsia"/>
              </w:rPr>
              <w:t>5</w:t>
            </w:r>
            <w:r w:rsidRPr="00637DB8">
              <w:t>%</w:t>
            </w:r>
          </w:p>
        </w:tc>
        <w:tc>
          <w:tcPr>
            <w:tcW w:w="1448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:rsidR="00F33466" w:rsidRPr="00637DB8" w:rsidRDefault="00F33466" w:rsidP="00F33466">
            <w:pPr>
              <w:spacing w:line="360" w:lineRule="auto"/>
              <w:jc w:val="center"/>
            </w:pPr>
            <w:r w:rsidRPr="00637DB8">
              <w:t>0.6</w:t>
            </w:r>
          </w:p>
        </w:tc>
        <w:tc>
          <w:tcPr>
            <w:tcW w:w="2195" w:type="dxa"/>
            <w:tcBorders>
              <w:top w:val="single" w:sz="4" w:space="0" w:color="auto"/>
              <w:left w:val="dashSmallGap" w:sz="4" w:space="0" w:color="auto"/>
              <w:bottom w:val="dashSmallGap" w:sz="4" w:space="0" w:color="auto"/>
            </w:tcBorders>
            <w:shd w:val="clear" w:color="auto" w:fill="auto"/>
          </w:tcPr>
          <w:p w:rsidR="00F33466" w:rsidRPr="00637DB8" w:rsidRDefault="00F33466" w:rsidP="00F33466">
            <w:pPr>
              <w:spacing w:line="360" w:lineRule="auto"/>
              <w:jc w:val="center"/>
            </w:pPr>
            <w:r w:rsidRPr="00637DB8">
              <w:t>1.5</w:t>
            </w:r>
          </w:p>
        </w:tc>
      </w:tr>
    </w:tbl>
    <w:p w:rsidR="00F33466" w:rsidRPr="00637DB8" w:rsidRDefault="00F33466" w:rsidP="00F33466">
      <w:pPr>
        <w:spacing w:line="360" w:lineRule="auto"/>
      </w:pPr>
    </w:p>
    <w:p w:rsidR="00F33466" w:rsidRPr="00637DB8" w:rsidRDefault="00F33466" w:rsidP="00F33466">
      <w:pPr>
        <w:spacing w:line="360" w:lineRule="auto"/>
      </w:pPr>
      <w:r w:rsidRPr="00637DB8">
        <w:rPr>
          <w:rFonts w:hint="eastAsia"/>
        </w:rPr>
        <w:t>2014</w:t>
      </w:r>
      <w:r w:rsidRPr="00637DB8">
        <w:rPr>
          <w:rFonts w:hint="eastAsia"/>
        </w:rPr>
        <w:t>年第一批</w:t>
      </w:r>
    </w:p>
    <w:tbl>
      <w:tblPr>
        <w:tblW w:w="8735" w:type="dxa"/>
        <w:jc w:val="center"/>
        <w:tblInd w:w="6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305"/>
        <w:gridCol w:w="1787"/>
        <w:gridCol w:w="1448"/>
        <w:gridCol w:w="2195"/>
      </w:tblGrid>
      <w:tr w:rsidR="00F33466" w:rsidRPr="00637DB8" w:rsidTr="0066485D">
        <w:trPr>
          <w:trHeight w:val="210"/>
          <w:jc w:val="center"/>
        </w:trPr>
        <w:tc>
          <w:tcPr>
            <w:tcW w:w="3305" w:type="dxa"/>
            <w:vMerge w:val="restart"/>
            <w:tcBorders>
              <w:top w:val="single" w:sz="4" w:space="0" w:color="auto"/>
              <w:right w:val="dashSmallGap" w:sz="4" w:space="0" w:color="auto"/>
            </w:tcBorders>
            <w:vAlign w:val="center"/>
          </w:tcPr>
          <w:p w:rsidR="00F33466" w:rsidRPr="00637DB8" w:rsidRDefault="00F33466" w:rsidP="00F33466">
            <w:pPr>
              <w:adjustRightInd w:val="0"/>
              <w:snapToGrid w:val="0"/>
              <w:spacing w:line="360" w:lineRule="auto"/>
              <w:jc w:val="center"/>
              <w:rPr>
                <w:b/>
                <w:sz w:val="18"/>
                <w:szCs w:val="18"/>
              </w:rPr>
            </w:pPr>
            <w:r w:rsidRPr="00637DB8">
              <w:rPr>
                <w:rFonts w:hint="eastAsia"/>
                <w:b/>
                <w:sz w:val="18"/>
                <w:szCs w:val="18"/>
              </w:rPr>
              <w:t>货物种类</w:t>
            </w:r>
          </w:p>
        </w:tc>
        <w:tc>
          <w:tcPr>
            <w:tcW w:w="5430" w:type="dxa"/>
            <w:gridSpan w:val="3"/>
            <w:tcBorders>
              <w:top w:val="single" w:sz="4" w:space="0" w:color="auto"/>
              <w:left w:val="dashSmallGap" w:sz="4" w:space="0" w:color="auto"/>
              <w:bottom w:val="dashSmallGap" w:sz="4" w:space="0" w:color="auto"/>
            </w:tcBorders>
            <w:vAlign w:val="center"/>
          </w:tcPr>
          <w:p w:rsidR="00F33466" w:rsidRPr="00637DB8" w:rsidRDefault="00F33466" w:rsidP="00F33466">
            <w:pPr>
              <w:adjustRightInd w:val="0"/>
              <w:snapToGrid w:val="0"/>
              <w:spacing w:line="360" w:lineRule="auto"/>
              <w:jc w:val="center"/>
              <w:rPr>
                <w:b/>
                <w:sz w:val="18"/>
                <w:szCs w:val="18"/>
              </w:rPr>
            </w:pPr>
            <w:r w:rsidRPr="00637DB8">
              <w:rPr>
                <w:rFonts w:ascii="宋体" w:hAnsi="宋体" w:cs="宋体" w:hint="eastAsia"/>
                <w:b/>
                <w:bCs/>
                <w:kern w:val="0"/>
                <w:sz w:val="18"/>
                <w:szCs w:val="18"/>
              </w:rPr>
              <w:t>价格下浮基准点和减分速率指数</w:t>
            </w:r>
          </w:p>
        </w:tc>
      </w:tr>
      <w:tr w:rsidR="00F33466" w:rsidRPr="00637DB8" w:rsidTr="0066485D">
        <w:trPr>
          <w:trHeight w:val="364"/>
          <w:jc w:val="center"/>
        </w:trPr>
        <w:tc>
          <w:tcPr>
            <w:tcW w:w="3305" w:type="dxa"/>
            <w:vMerge/>
            <w:tcBorders>
              <w:bottom w:val="dashSmallGap" w:sz="4" w:space="0" w:color="auto"/>
              <w:right w:val="dashSmallGap" w:sz="4" w:space="0" w:color="auto"/>
            </w:tcBorders>
            <w:vAlign w:val="center"/>
          </w:tcPr>
          <w:p w:rsidR="00F33466" w:rsidRPr="00637DB8" w:rsidRDefault="00F33466" w:rsidP="00F33466">
            <w:pPr>
              <w:adjustRightInd w:val="0"/>
              <w:snapToGrid w:val="0"/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787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</w:tcBorders>
            <w:vAlign w:val="center"/>
          </w:tcPr>
          <w:p w:rsidR="00F33466" w:rsidRPr="00637DB8" w:rsidRDefault="00F33466" w:rsidP="00F33466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 w:rsidRPr="00637DB8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a</w:t>
            </w:r>
          </w:p>
        </w:tc>
        <w:tc>
          <w:tcPr>
            <w:tcW w:w="1448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:rsidR="00F33466" w:rsidRPr="00637DB8" w:rsidRDefault="00F33466" w:rsidP="00F33466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 w:rsidRPr="00637DB8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m</w:t>
            </w:r>
          </w:p>
        </w:tc>
        <w:tc>
          <w:tcPr>
            <w:tcW w:w="2195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</w:tcBorders>
            <w:vAlign w:val="center"/>
          </w:tcPr>
          <w:p w:rsidR="00F33466" w:rsidRPr="00637DB8" w:rsidRDefault="00F33466" w:rsidP="00F33466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 w:rsidRPr="00637DB8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n</w:t>
            </w:r>
          </w:p>
        </w:tc>
      </w:tr>
      <w:tr w:rsidR="00F33466" w:rsidRPr="00637DB8" w:rsidTr="0066485D">
        <w:trPr>
          <w:trHeight w:val="20"/>
          <w:jc w:val="center"/>
        </w:trPr>
        <w:tc>
          <w:tcPr>
            <w:tcW w:w="3305" w:type="dxa"/>
            <w:tcBorders>
              <w:top w:val="dashSmallGap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:rsidR="00F33466" w:rsidRPr="00637DB8" w:rsidRDefault="00F33466" w:rsidP="00F33466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637DB8">
              <w:rPr>
                <w:rFonts w:ascii="宋体" w:hAnsi="宋体" w:hint="eastAsia"/>
                <w:szCs w:val="21"/>
              </w:rPr>
              <w:t>框架式电容器成套装置</w:t>
            </w:r>
          </w:p>
        </w:tc>
        <w:tc>
          <w:tcPr>
            <w:tcW w:w="1787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</w:tcBorders>
            <w:vAlign w:val="center"/>
          </w:tcPr>
          <w:p w:rsidR="00F33466" w:rsidRPr="00637DB8" w:rsidRDefault="00F33466" w:rsidP="00F33466">
            <w:pPr>
              <w:spacing w:line="360" w:lineRule="auto"/>
              <w:ind w:leftChars="-40" w:left="-84" w:firstLineChars="50" w:firstLine="105"/>
              <w:jc w:val="center"/>
              <w:rPr>
                <w:rFonts w:ascii="宋体" w:hAnsi="宋体"/>
                <w:szCs w:val="21"/>
              </w:rPr>
            </w:pPr>
            <w:r w:rsidRPr="00637DB8">
              <w:rPr>
                <w:rFonts w:ascii="宋体" w:hAnsi="宋体" w:hint="eastAsia"/>
                <w:szCs w:val="21"/>
              </w:rPr>
              <w:t>3%</w:t>
            </w:r>
          </w:p>
        </w:tc>
        <w:tc>
          <w:tcPr>
            <w:tcW w:w="1448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  <w:vAlign w:val="center"/>
          </w:tcPr>
          <w:p w:rsidR="00F33466" w:rsidRPr="00637DB8" w:rsidRDefault="00F33466" w:rsidP="00F33466">
            <w:pPr>
              <w:spacing w:line="360" w:lineRule="auto"/>
              <w:ind w:leftChars="-40" w:left="-84" w:firstLineChars="50" w:firstLine="105"/>
              <w:jc w:val="center"/>
              <w:rPr>
                <w:rFonts w:ascii="宋体" w:hAnsi="宋体"/>
                <w:szCs w:val="21"/>
              </w:rPr>
            </w:pPr>
            <w:r w:rsidRPr="00637DB8">
              <w:rPr>
                <w:rFonts w:ascii="宋体" w:hAnsi="宋体" w:hint="eastAsia"/>
                <w:szCs w:val="21"/>
              </w:rPr>
              <w:t>0.6</w:t>
            </w:r>
          </w:p>
        </w:tc>
        <w:tc>
          <w:tcPr>
            <w:tcW w:w="2195" w:type="dxa"/>
            <w:tcBorders>
              <w:top w:val="single" w:sz="4" w:space="0" w:color="auto"/>
              <w:left w:val="dashSmallGap" w:sz="4" w:space="0" w:color="auto"/>
              <w:bottom w:val="dashSmallGap" w:sz="4" w:space="0" w:color="auto"/>
            </w:tcBorders>
            <w:shd w:val="clear" w:color="auto" w:fill="auto"/>
            <w:vAlign w:val="center"/>
          </w:tcPr>
          <w:p w:rsidR="00F33466" w:rsidRPr="00637DB8" w:rsidRDefault="00F33466" w:rsidP="00F33466">
            <w:pPr>
              <w:spacing w:line="360" w:lineRule="auto"/>
              <w:ind w:leftChars="-40" w:left="-84" w:firstLineChars="50" w:firstLine="105"/>
              <w:jc w:val="center"/>
              <w:rPr>
                <w:rFonts w:ascii="宋体" w:hAnsi="宋体"/>
                <w:szCs w:val="21"/>
              </w:rPr>
            </w:pPr>
            <w:r w:rsidRPr="00637DB8">
              <w:rPr>
                <w:rFonts w:ascii="宋体" w:hAnsi="宋体" w:hint="eastAsia"/>
                <w:szCs w:val="21"/>
              </w:rPr>
              <w:t>1.5</w:t>
            </w:r>
          </w:p>
        </w:tc>
      </w:tr>
    </w:tbl>
    <w:p w:rsidR="00F33466" w:rsidRPr="00637DB8" w:rsidRDefault="00F33466" w:rsidP="00F33466">
      <w:pPr>
        <w:spacing w:line="360" w:lineRule="auto"/>
      </w:pPr>
    </w:p>
    <w:p w:rsidR="00F33466" w:rsidRPr="00637DB8" w:rsidRDefault="00F33466" w:rsidP="00F33466">
      <w:pPr>
        <w:spacing w:line="360" w:lineRule="auto"/>
      </w:pPr>
      <w:r w:rsidRPr="00637DB8">
        <w:rPr>
          <w:rFonts w:hint="eastAsia"/>
        </w:rPr>
        <w:t>2014</w:t>
      </w:r>
      <w:r w:rsidRPr="00637DB8">
        <w:rPr>
          <w:rFonts w:hint="eastAsia"/>
        </w:rPr>
        <w:t>年第二批</w:t>
      </w:r>
    </w:p>
    <w:tbl>
      <w:tblPr>
        <w:tblW w:w="8735" w:type="dxa"/>
        <w:jc w:val="center"/>
        <w:tblInd w:w="6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261"/>
        <w:gridCol w:w="1842"/>
        <w:gridCol w:w="1418"/>
        <w:gridCol w:w="2214"/>
      </w:tblGrid>
      <w:tr w:rsidR="00F33466" w:rsidRPr="00637DB8" w:rsidTr="0066485D">
        <w:trPr>
          <w:trHeight w:val="210"/>
          <w:jc w:val="center"/>
        </w:trPr>
        <w:tc>
          <w:tcPr>
            <w:tcW w:w="3261" w:type="dxa"/>
            <w:vMerge w:val="restart"/>
            <w:tcBorders>
              <w:top w:val="single" w:sz="4" w:space="0" w:color="auto"/>
              <w:right w:val="dashSmallGap" w:sz="4" w:space="0" w:color="auto"/>
            </w:tcBorders>
            <w:vAlign w:val="center"/>
          </w:tcPr>
          <w:p w:rsidR="00F33466" w:rsidRPr="00637DB8" w:rsidRDefault="00F33466" w:rsidP="00F33466">
            <w:pPr>
              <w:adjustRightInd w:val="0"/>
              <w:snapToGrid w:val="0"/>
              <w:spacing w:line="360" w:lineRule="auto"/>
              <w:jc w:val="center"/>
              <w:rPr>
                <w:b/>
                <w:sz w:val="18"/>
                <w:szCs w:val="18"/>
              </w:rPr>
            </w:pPr>
            <w:r w:rsidRPr="00637DB8">
              <w:rPr>
                <w:rFonts w:hint="eastAsia"/>
                <w:b/>
                <w:sz w:val="18"/>
                <w:szCs w:val="18"/>
              </w:rPr>
              <w:t>货物种类</w:t>
            </w:r>
          </w:p>
        </w:tc>
        <w:tc>
          <w:tcPr>
            <w:tcW w:w="5474" w:type="dxa"/>
            <w:gridSpan w:val="3"/>
            <w:tcBorders>
              <w:top w:val="single" w:sz="4" w:space="0" w:color="auto"/>
              <w:left w:val="dashSmallGap" w:sz="4" w:space="0" w:color="auto"/>
              <w:bottom w:val="dashSmallGap" w:sz="4" w:space="0" w:color="auto"/>
            </w:tcBorders>
            <w:vAlign w:val="center"/>
          </w:tcPr>
          <w:p w:rsidR="00F33466" w:rsidRPr="00637DB8" w:rsidRDefault="00F33466" w:rsidP="00F33466">
            <w:pPr>
              <w:adjustRightInd w:val="0"/>
              <w:snapToGrid w:val="0"/>
              <w:spacing w:line="360" w:lineRule="auto"/>
              <w:jc w:val="center"/>
              <w:rPr>
                <w:b/>
                <w:sz w:val="18"/>
                <w:szCs w:val="18"/>
              </w:rPr>
            </w:pPr>
            <w:r w:rsidRPr="00637DB8">
              <w:rPr>
                <w:rFonts w:ascii="宋体" w:hAnsi="宋体" w:cs="宋体" w:hint="eastAsia"/>
                <w:b/>
                <w:bCs/>
                <w:kern w:val="0"/>
                <w:sz w:val="18"/>
                <w:szCs w:val="18"/>
              </w:rPr>
              <w:t>价格下浮基准点和减分速率指数</w:t>
            </w:r>
          </w:p>
        </w:tc>
      </w:tr>
      <w:tr w:rsidR="00F33466" w:rsidRPr="00637DB8" w:rsidTr="0066485D">
        <w:trPr>
          <w:trHeight w:val="364"/>
          <w:jc w:val="center"/>
        </w:trPr>
        <w:tc>
          <w:tcPr>
            <w:tcW w:w="3261" w:type="dxa"/>
            <w:vMerge/>
            <w:tcBorders>
              <w:bottom w:val="dashSmallGap" w:sz="4" w:space="0" w:color="auto"/>
              <w:right w:val="dashSmallGap" w:sz="4" w:space="0" w:color="auto"/>
            </w:tcBorders>
            <w:vAlign w:val="center"/>
          </w:tcPr>
          <w:p w:rsidR="00F33466" w:rsidRPr="00637DB8" w:rsidRDefault="00F33466" w:rsidP="00F33466">
            <w:pPr>
              <w:adjustRightInd w:val="0"/>
              <w:snapToGrid w:val="0"/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</w:tcBorders>
            <w:vAlign w:val="center"/>
          </w:tcPr>
          <w:p w:rsidR="00F33466" w:rsidRPr="00637DB8" w:rsidRDefault="00F33466" w:rsidP="00F33466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 w:rsidRPr="00637DB8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a</w:t>
            </w:r>
          </w:p>
        </w:tc>
        <w:tc>
          <w:tcPr>
            <w:tcW w:w="1418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:rsidR="00F33466" w:rsidRPr="00637DB8" w:rsidRDefault="00F33466" w:rsidP="00F33466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 w:rsidRPr="00637DB8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m</w:t>
            </w:r>
          </w:p>
        </w:tc>
        <w:tc>
          <w:tcPr>
            <w:tcW w:w="2214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</w:tcBorders>
            <w:vAlign w:val="center"/>
          </w:tcPr>
          <w:p w:rsidR="00F33466" w:rsidRPr="00637DB8" w:rsidRDefault="00F33466" w:rsidP="00F33466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 w:rsidRPr="00637DB8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n</w:t>
            </w:r>
          </w:p>
        </w:tc>
      </w:tr>
      <w:tr w:rsidR="00F33466" w:rsidRPr="00637DB8" w:rsidTr="0066485D">
        <w:trPr>
          <w:trHeight w:val="20"/>
          <w:jc w:val="center"/>
        </w:trPr>
        <w:tc>
          <w:tcPr>
            <w:tcW w:w="3261" w:type="dxa"/>
            <w:tcBorders>
              <w:top w:val="dashSmallGap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:rsidR="00F33466" w:rsidRPr="00637DB8" w:rsidRDefault="00F33466" w:rsidP="00F33466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637DB8">
              <w:rPr>
                <w:rFonts w:ascii="宋体" w:hAnsi="宋体" w:hint="eastAsia"/>
                <w:szCs w:val="21"/>
              </w:rPr>
              <w:t>框架式电容器成套装置</w:t>
            </w:r>
          </w:p>
        </w:tc>
        <w:tc>
          <w:tcPr>
            <w:tcW w:w="1842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</w:tcBorders>
            <w:vAlign w:val="center"/>
          </w:tcPr>
          <w:p w:rsidR="00F33466" w:rsidRPr="00637DB8" w:rsidRDefault="00F33466" w:rsidP="00F33466">
            <w:pPr>
              <w:spacing w:line="360" w:lineRule="auto"/>
              <w:ind w:leftChars="-40" w:left="-84" w:firstLineChars="50" w:firstLine="105"/>
              <w:jc w:val="center"/>
              <w:rPr>
                <w:rFonts w:ascii="宋体" w:hAnsi="宋体"/>
                <w:szCs w:val="21"/>
              </w:rPr>
            </w:pPr>
            <w:r w:rsidRPr="00637DB8">
              <w:rPr>
                <w:rFonts w:ascii="宋体" w:hAnsi="宋体" w:hint="eastAsia"/>
                <w:szCs w:val="21"/>
              </w:rPr>
              <w:t>5%</w:t>
            </w:r>
          </w:p>
        </w:tc>
        <w:tc>
          <w:tcPr>
            <w:tcW w:w="1418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  <w:vAlign w:val="center"/>
          </w:tcPr>
          <w:p w:rsidR="00F33466" w:rsidRPr="00637DB8" w:rsidRDefault="00F33466" w:rsidP="00F33466">
            <w:pPr>
              <w:spacing w:line="360" w:lineRule="auto"/>
              <w:jc w:val="center"/>
            </w:pPr>
            <w:r w:rsidRPr="00637DB8">
              <w:t>0.6</w:t>
            </w:r>
          </w:p>
        </w:tc>
        <w:tc>
          <w:tcPr>
            <w:tcW w:w="2214" w:type="dxa"/>
            <w:tcBorders>
              <w:top w:val="single" w:sz="4" w:space="0" w:color="auto"/>
              <w:left w:val="dashSmallGap" w:sz="4" w:space="0" w:color="auto"/>
              <w:bottom w:val="dashSmallGap" w:sz="4" w:space="0" w:color="auto"/>
            </w:tcBorders>
            <w:shd w:val="clear" w:color="auto" w:fill="auto"/>
            <w:vAlign w:val="center"/>
          </w:tcPr>
          <w:p w:rsidR="00F33466" w:rsidRPr="00637DB8" w:rsidRDefault="00F33466" w:rsidP="00F33466">
            <w:pPr>
              <w:spacing w:line="360" w:lineRule="auto"/>
              <w:ind w:leftChars="-40" w:left="-84" w:firstLineChars="50" w:firstLine="105"/>
              <w:jc w:val="center"/>
              <w:rPr>
                <w:rFonts w:ascii="宋体" w:hAnsi="宋体"/>
                <w:szCs w:val="21"/>
              </w:rPr>
            </w:pPr>
            <w:r w:rsidRPr="00637DB8">
              <w:rPr>
                <w:rFonts w:ascii="宋体" w:hAnsi="宋体" w:hint="eastAsia"/>
                <w:szCs w:val="21"/>
              </w:rPr>
              <w:t>1.5</w:t>
            </w:r>
          </w:p>
        </w:tc>
      </w:tr>
    </w:tbl>
    <w:p w:rsidR="00F33466" w:rsidRPr="00637DB8" w:rsidRDefault="00902C61" w:rsidP="00F33466">
      <w:pPr>
        <w:spacing w:line="360" w:lineRule="auto"/>
      </w:pPr>
      <w:r>
        <w:rPr>
          <w:rFonts w:hint="eastAsia"/>
        </w:rPr>
        <w:t>注：本批次中少数包的</w:t>
      </w:r>
      <w:r>
        <w:rPr>
          <w:rFonts w:hint="eastAsia"/>
        </w:rPr>
        <w:t>a</w:t>
      </w:r>
      <w:r>
        <w:rPr>
          <w:rFonts w:hint="eastAsia"/>
        </w:rPr>
        <w:t>值为：</w:t>
      </w:r>
      <w:r>
        <w:rPr>
          <w:rFonts w:hint="eastAsia"/>
        </w:rPr>
        <w:t>15%</w:t>
      </w:r>
      <w:r>
        <w:rPr>
          <w:rFonts w:hint="eastAsia"/>
        </w:rPr>
        <w:t>。</w:t>
      </w:r>
    </w:p>
    <w:p w:rsidR="00F33466" w:rsidRPr="00637DB8" w:rsidRDefault="00F33466" w:rsidP="00F33466">
      <w:pPr>
        <w:spacing w:line="360" w:lineRule="auto"/>
      </w:pPr>
      <w:r>
        <w:rPr>
          <w:rFonts w:hint="eastAsia"/>
        </w:rPr>
        <w:t>2014</w:t>
      </w:r>
      <w:r>
        <w:rPr>
          <w:rFonts w:hint="eastAsia"/>
        </w:rPr>
        <w:t>年</w:t>
      </w:r>
      <w:r w:rsidRPr="00637DB8">
        <w:rPr>
          <w:rFonts w:hint="eastAsia"/>
        </w:rPr>
        <w:t>第三、四批</w:t>
      </w:r>
    </w:p>
    <w:tbl>
      <w:tblPr>
        <w:tblW w:w="8735" w:type="dxa"/>
        <w:jc w:val="center"/>
        <w:tblInd w:w="6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305"/>
        <w:gridCol w:w="1787"/>
        <w:gridCol w:w="1448"/>
        <w:gridCol w:w="2195"/>
      </w:tblGrid>
      <w:tr w:rsidR="00F33466" w:rsidRPr="00637DB8" w:rsidTr="0066485D">
        <w:trPr>
          <w:trHeight w:val="210"/>
          <w:jc w:val="center"/>
        </w:trPr>
        <w:tc>
          <w:tcPr>
            <w:tcW w:w="3305" w:type="dxa"/>
            <w:vMerge w:val="restart"/>
            <w:tcBorders>
              <w:top w:val="single" w:sz="4" w:space="0" w:color="auto"/>
              <w:right w:val="dashSmallGap" w:sz="4" w:space="0" w:color="auto"/>
            </w:tcBorders>
            <w:vAlign w:val="center"/>
          </w:tcPr>
          <w:p w:rsidR="00F33466" w:rsidRPr="00637DB8" w:rsidRDefault="00F33466" w:rsidP="00F33466">
            <w:pPr>
              <w:adjustRightInd w:val="0"/>
              <w:snapToGrid w:val="0"/>
              <w:spacing w:line="360" w:lineRule="auto"/>
              <w:jc w:val="center"/>
              <w:rPr>
                <w:b/>
                <w:sz w:val="18"/>
                <w:szCs w:val="18"/>
              </w:rPr>
            </w:pPr>
            <w:r w:rsidRPr="00637DB8">
              <w:rPr>
                <w:rFonts w:hint="eastAsia"/>
                <w:b/>
                <w:sz w:val="18"/>
                <w:szCs w:val="18"/>
              </w:rPr>
              <w:t>货物种类</w:t>
            </w:r>
          </w:p>
        </w:tc>
        <w:tc>
          <w:tcPr>
            <w:tcW w:w="5430" w:type="dxa"/>
            <w:gridSpan w:val="3"/>
            <w:tcBorders>
              <w:top w:val="single" w:sz="4" w:space="0" w:color="auto"/>
              <w:left w:val="dashSmallGap" w:sz="4" w:space="0" w:color="auto"/>
              <w:bottom w:val="dashSmallGap" w:sz="4" w:space="0" w:color="auto"/>
            </w:tcBorders>
            <w:vAlign w:val="center"/>
          </w:tcPr>
          <w:p w:rsidR="00F33466" w:rsidRPr="00637DB8" w:rsidRDefault="00F33466" w:rsidP="00F33466">
            <w:pPr>
              <w:adjustRightInd w:val="0"/>
              <w:snapToGrid w:val="0"/>
              <w:spacing w:line="360" w:lineRule="auto"/>
              <w:jc w:val="center"/>
              <w:rPr>
                <w:b/>
                <w:sz w:val="18"/>
                <w:szCs w:val="18"/>
              </w:rPr>
            </w:pPr>
            <w:r w:rsidRPr="00637DB8">
              <w:rPr>
                <w:rFonts w:ascii="宋体" w:hAnsi="宋体" w:cs="宋体" w:hint="eastAsia"/>
                <w:b/>
                <w:bCs/>
                <w:kern w:val="0"/>
                <w:sz w:val="18"/>
                <w:szCs w:val="18"/>
              </w:rPr>
              <w:t>价格下浮基准点和减分速率指数</w:t>
            </w:r>
          </w:p>
        </w:tc>
      </w:tr>
      <w:tr w:rsidR="00F33466" w:rsidRPr="00637DB8" w:rsidTr="0066485D">
        <w:trPr>
          <w:trHeight w:val="364"/>
          <w:jc w:val="center"/>
        </w:trPr>
        <w:tc>
          <w:tcPr>
            <w:tcW w:w="3305" w:type="dxa"/>
            <w:vMerge/>
            <w:tcBorders>
              <w:bottom w:val="dashSmallGap" w:sz="4" w:space="0" w:color="auto"/>
              <w:right w:val="dashSmallGap" w:sz="4" w:space="0" w:color="auto"/>
            </w:tcBorders>
            <w:vAlign w:val="center"/>
          </w:tcPr>
          <w:p w:rsidR="00F33466" w:rsidRPr="00637DB8" w:rsidRDefault="00F33466" w:rsidP="00F33466">
            <w:pPr>
              <w:adjustRightInd w:val="0"/>
              <w:snapToGrid w:val="0"/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787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</w:tcBorders>
            <w:vAlign w:val="center"/>
          </w:tcPr>
          <w:p w:rsidR="00F33466" w:rsidRPr="00637DB8" w:rsidRDefault="00F33466" w:rsidP="00F33466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 w:rsidRPr="00637DB8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a</w:t>
            </w:r>
          </w:p>
        </w:tc>
        <w:tc>
          <w:tcPr>
            <w:tcW w:w="1448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:rsidR="00F33466" w:rsidRPr="00637DB8" w:rsidRDefault="00F33466" w:rsidP="00F33466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 w:rsidRPr="00637DB8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m</w:t>
            </w:r>
          </w:p>
        </w:tc>
        <w:tc>
          <w:tcPr>
            <w:tcW w:w="2195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</w:tcBorders>
            <w:vAlign w:val="center"/>
          </w:tcPr>
          <w:p w:rsidR="00F33466" w:rsidRPr="00637DB8" w:rsidRDefault="00F33466" w:rsidP="00F33466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 w:rsidRPr="00637DB8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n</w:t>
            </w:r>
          </w:p>
        </w:tc>
      </w:tr>
      <w:tr w:rsidR="00F33466" w:rsidRPr="00637DB8" w:rsidTr="0066485D">
        <w:trPr>
          <w:trHeight w:val="20"/>
          <w:jc w:val="center"/>
        </w:trPr>
        <w:tc>
          <w:tcPr>
            <w:tcW w:w="3305" w:type="dxa"/>
            <w:tcBorders>
              <w:top w:val="dashSmallGap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:rsidR="00F33466" w:rsidRPr="00637DB8" w:rsidRDefault="00F33466" w:rsidP="00F33466">
            <w:pPr>
              <w:adjustRightInd w:val="0"/>
              <w:snapToGrid w:val="0"/>
              <w:spacing w:line="360" w:lineRule="auto"/>
              <w:jc w:val="center"/>
            </w:pPr>
            <w:r w:rsidRPr="00637DB8">
              <w:rPr>
                <w:rFonts w:ascii="宋体" w:hAnsi="宋体" w:hint="eastAsia"/>
                <w:szCs w:val="21"/>
              </w:rPr>
              <w:t>框架式电容器成套装置</w:t>
            </w:r>
          </w:p>
        </w:tc>
        <w:tc>
          <w:tcPr>
            <w:tcW w:w="1787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</w:tcBorders>
            <w:vAlign w:val="center"/>
          </w:tcPr>
          <w:p w:rsidR="00F33466" w:rsidRPr="00637DB8" w:rsidRDefault="00F33466" w:rsidP="00F33466">
            <w:pPr>
              <w:spacing w:line="360" w:lineRule="auto"/>
              <w:ind w:leftChars="-40" w:left="-84" w:firstLineChars="50" w:firstLine="105"/>
              <w:jc w:val="center"/>
              <w:rPr>
                <w:rFonts w:ascii="宋体" w:hAnsi="宋体"/>
                <w:szCs w:val="21"/>
              </w:rPr>
            </w:pPr>
            <w:r w:rsidRPr="00637DB8">
              <w:rPr>
                <w:rFonts w:ascii="宋体" w:hAnsi="宋体" w:hint="eastAsia"/>
                <w:szCs w:val="21"/>
              </w:rPr>
              <w:t>10%</w:t>
            </w:r>
          </w:p>
        </w:tc>
        <w:tc>
          <w:tcPr>
            <w:tcW w:w="1448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  <w:vAlign w:val="center"/>
          </w:tcPr>
          <w:p w:rsidR="00F33466" w:rsidRPr="00637DB8" w:rsidRDefault="00F33466" w:rsidP="00F33466">
            <w:pPr>
              <w:spacing w:line="360" w:lineRule="auto"/>
              <w:ind w:leftChars="-40" w:left="-84" w:firstLineChars="50" w:firstLine="105"/>
              <w:jc w:val="center"/>
              <w:rPr>
                <w:rFonts w:ascii="宋体" w:hAnsi="宋体"/>
                <w:szCs w:val="21"/>
              </w:rPr>
            </w:pPr>
            <w:r w:rsidRPr="00637DB8">
              <w:rPr>
                <w:rFonts w:ascii="宋体" w:hAnsi="宋体" w:hint="eastAsia"/>
                <w:szCs w:val="21"/>
              </w:rPr>
              <w:t>0.3</w:t>
            </w:r>
          </w:p>
        </w:tc>
        <w:tc>
          <w:tcPr>
            <w:tcW w:w="2195" w:type="dxa"/>
            <w:tcBorders>
              <w:top w:val="single" w:sz="4" w:space="0" w:color="auto"/>
              <w:left w:val="dashSmallGap" w:sz="4" w:space="0" w:color="auto"/>
              <w:bottom w:val="dashSmallGap" w:sz="4" w:space="0" w:color="auto"/>
            </w:tcBorders>
            <w:shd w:val="clear" w:color="auto" w:fill="auto"/>
            <w:vAlign w:val="center"/>
          </w:tcPr>
          <w:p w:rsidR="00F33466" w:rsidRPr="00637DB8" w:rsidRDefault="00F33466" w:rsidP="00F33466">
            <w:pPr>
              <w:spacing w:line="360" w:lineRule="auto"/>
              <w:ind w:leftChars="-40" w:left="-84" w:firstLineChars="50" w:firstLine="105"/>
              <w:jc w:val="center"/>
              <w:rPr>
                <w:rFonts w:ascii="宋体" w:hAnsi="宋体"/>
                <w:szCs w:val="21"/>
              </w:rPr>
            </w:pPr>
            <w:r w:rsidRPr="00637DB8">
              <w:rPr>
                <w:rFonts w:ascii="宋体" w:hAnsi="宋体" w:hint="eastAsia"/>
                <w:szCs w:val="21"/>
              </w:rPr>
              <w:t>2</w:t>
            </w:r>
          </w:p>
        </w:tc>
      </w:tr>
    </w:tbl>
    <w:p w:rsidR="00F33466" w:rsidRDefault="00F33466" w:rsidP="00F33466">
      <w:pPr>
        <w:spacing w:line="360" w:lineRule="auto"/>
      </w:pPr>
    </w:p>
    <w:p w:rsidR="00F33466" w:rsidRDefault="00F33466" w:rsidP="00F33466">
      <w:pPr>
        <w:spacing w:line="360" w:lineRule="auto"/>
        <w:rPr>
          <w:rFonts w:ascii="宋体" w:hAnsi="宋体" w:cs="Arial"/>
          <w:kern w:val="0"/>
          <w:sz w:val="20"/>
          <w:szCs w:val="20"/>
        </w:rPr>
      </w:pPr>
      <w:r>
        <w:rPr>
          <w:rFonts w:hint="eastAsia"/>
        </w:rPr>
        <w:t>2</w:t>
      </w:r>
      <w:r>
        <w:rPr>
          <w:rFonts w:hint="eastAsia"/>
        </w:rPr>
        <w:t>、铁芯形式分</w:t>
      </w:r>
      <w:r>
        <w:rPr>
          <w:rFonts w:hint="eastAsia"/>
        </w:rPr>
        <w:t>2</w:t>
      </w:r>
      <w:r>
        <w:rPr>
          <w:rFonts w:hint="eastAsia"/>
        </w:rPr>
        <w:t>种，其中铁芯形式的</w:t>
      </w:r>
      <w:r w:rsidRPr="00B66226">
        <w:rPr>
          <w:rFonts w:ascii="宋体" w:hAnsi="宋体" w:cs="Arial" w:hint="eastAsia"/>
          <w:kern w:val="0"/>
          <w:sz w:val="20"/>
          <w:szCs w:val="20"/>
        </w:rPr>
        <w:t>框架式电容器组（不含电抗器）</w:t>
      </w:r>
      <w:r>
        <w:rPr>
          <w:rFonts w:ascii="宋体" w:hAnsi="宋体" w:cs="Arial" w:hint="eastAsia"/>
          <w:kern w:val="0"/>
          <w:sz w:val="20"/>
          <w:szCs w:val="20"/>
        </w:rPr>
        <w:t>组数：</w:t>
      </w:r>
      <w:r w:rsidRPr="00B66226">
        <w:rPr>
          <w:rFonts w:ascii="宋体" w:hAnsi="宋体" w:cs="Arial" w:hint="eastAsia"/>
          <w:kern w:val="0"/>
          <w:sz w:val="20"/>
          <w:szCs w:val="20"/>
        </w:rPr>
        <w:t>电容器组串联电抗器</w:t>
      </w:r>
      <w:r>
        <w:rPr>
          <w:rFonts w:ascii="宋体" w:hAnsi="宋体" w:cs="Arial" w:hint="eastAsia"/>
          <w:kern w:val="0"/>
          <w:sz w:val="20"/>
          <w:szCs w:val="20"/>
        </w:rPr>
        <w:t>台数=1:1</w:t>
      </w:r>
      <w:r w:rsidR="00AF2D21">
        <w:rPr>
          <w:rFonts w:ascii="宋体" w:hAnsi="宋体" w:cs="Arial" w:hint="eastAsia"/>
          <w:kern w:val="0"/>
          <w:sz w:val="20"/>
          <w:szCs w:val="20"/>
        </w:rPr>
        <w:t>；空心</w:t>
      </w:r>
      <w:r>
        <w:rPr>
          <w:rFonts w:ascii="宋体" w:hAnsi="宋体" w:cs="Arial" w:hint="eastAsia"/>
          <w:kern w:val="0"/>
          <w:sz w:val="20"/>
          <w:szCs w:val="20"/>
        </w:rPr>
        <w:t>形式的</w:t>
      </w:r>
      <w:r w:rsidRPr="00B66226">
        <w:rPr>
          <w:rFonts w:ascii="宋体" w:hAnsi="宋体" w:cs="Arial" w:hint="eastAsia"/>
          <w:kern w:val="0"/>
          <w:sz w:val="20"/>
          <w:szCs w:val="20"/>
        </w:rPr>
        <w:t>框架式电容器组（不含电抗器）</w:t>
      </w:r>
      <w:r>
        <w:rPr>
          <w:rFonts w:ascii="宋体" w:hAnsi="宋体" w:cs="Arial" w:hint="eastAsia"/>
          <w:kern w:val="0"/>
          <w:sz w:val="20"/>
          <w:szCs w:val="20"/>
        </w:rPr>
        <w:t>组数：</w:t>
      </w:r>
      <w:r w:rsidRPr="00B66226">
        <w:rPr>
          <w:rFonts w:ascii="宋体" w:hAnsi="宋体" w:cs="Arial" w:hint="eastAsia"/>
          <w:kern w:val="0"/>
          <w:sz w:val="20"/>
          <w:szCs w:val="20"/>
        </w:rPr>
        <w:t>电容器组串联电抗器</w:t>
      </w:r>
      <w:r>
        <w:rPr>
          <w:rFonts w:ascii="宋体" w:hAnsi="宋体" w:cs="Arial" w:hint="eastAsia"/>
          <w:kern w:val="0"/>
          <w:sz w:val="20"/>
          <w:szCs w:val="20"/>
        </w:rPr>
        <w:t>台数=1:3；</w:t>
      </w:r>
    </w:p>
    <w:p w:rsidR="00F33466" w:rsidRPr="00FA3194" w:rsidRDefault="00F33466" w:rsidP="00F33466">
      <w:pPr>
        <w:spacing w:line="360" w:lineRule="auto"/>
      </w:pPr>
      <w:r>
        <w:rPr>
          <w:rFonts w:hint="eastAsia"/>
        </w:rPr>
        <w:t>3</w:t>
      </w:r>
      <w:r>
        <w:rPr>
          <w:rFonts w:hint="eastAsia"/>
        </w:rPr>
        <w:t>、各批次均</w:t>
      </w:r>
      <w:r w:rsidRPr="00FA3194">
        <w:rPr>
          <w:rFonts w:hint="eastAsia"/>
        </w:rPr>
        <w:t>只需考虑</w:t>
      </w:r>
      <w:r w:rsidRPr="00FA3194">
        <w:rPr>
          <w:rFonts w:hint="eastAsia"/>
        </w:rPr>
        <w:t>10kv</w:t>
      </w:r>
      <w:r>
        <w:rPr>
          <w:rFonts w:hint="eastAsia"/>
        </w:rPr>
        <w:t>的各包。</w:t>
      </w:r>
    </w:p>
    <w:p w:rsidR="00F33466" w:rsidRDefault="00F33466" w:rsidP="00F33466">
      <w:pPr>
        <w:spacing w:line="360" w:lineRule="auto"/>
      </w:pPr>
      <w:r>
        <w:rPr>
          <w:rFonts w:hint="eastAsia"/>
        </w:rPr>
        <w:t>4</w:t>
      </w:r>
      <w:r>
        <w:rPr>
          <w:rFonts w:hint="eastAsia"/>
        </w:rPr>
        <w:t>、电容器成套设备分为框架式、集合式。所有批次中含有集合式的包均不予考虑。</w:t>
      </w:r>
    </w:p>
    <w:p w:rsidR="00F33466" w:rsidRDefault="00F33466" w:rsidP="00F33466">
      <w:pPr>
        <w:spacing w:line="360" w:lineRule="auto"/>
      </w:pPr>
      <w:r>
        <w:rPr>
          <w:rFonts w:hint="eastAsia"/>
        </w:rPr>
        <w:t>5</w:t>
      </w:r>
      <w:r>
        <w:rPr>
          <w:rFonts w:hint="eastAsia"/>
        </w:rPr>
        <w:t>、已删去一些货物包的得分情况，故附件</w:t>
      </w:r>
      <w:r>
        <w:rPr>
          <w:rFonts w:hint="eastAsia"/>
        </w:rPr>
        <w:t>2</w:t>
      </w:r>
      <w:r>
        <w:rPr>
          <w:rFonts w:hint="eastAsia"/>
        </w:rPr>
        <w:t>的货物包的编号不一定连续。</w:t>
      </w:r>
    </w:p>
    <w:p w:rsidR="00F33466" w:rsidRDefault="00F33466" w:rsidP="00F33466">
      <w:pPr>
        <w:spacing w:line="360" w:lineRule="auto"/>
      </w:pPr>
    </w:p>
    <w:p w:rsidR="00F33466" w:rsidRDefault="00F33466" w:rsidP="00F33466">
      <w:pPr>
        <w:spacing w:line="360" w:lineRule="auto"/>
      </w:pPr>
    </w:p>
    <w:p w:rsidR="00F33466" w:rsidRDefault="00F33466" w:rsidP="00F33466">
      <w:pPr>
        <w:spacing w:line="360" w:lineRule="auto"/>
      </w:pPr>
    </w:p>
    <w:p w:rsidR="00F33466" w:rsidRPr="00181148" w:rsidRDefault="00F33466" w:rsidP="00F33466">
      <w:pPr>
        <w:spacing w:line="360" w:lineRule="auto"/>
      </w:pPr>
    </w:p>
    <w:p w:rsidR="00F33466" w:rsidRDefault="00F33466" w:rsidP="00F33466">
      <w:pPr>
        <w:spacing w:line="360" w:lineRule="auto"/>
      </w:pPr>
    </w:p>
    <w:p w:rsidR="007862A0" w:rsidRPr="00F33466" w:rsidRDefault="007862A0" w:rsidP="00F33466">
      <w:pPr>
        <w:spacing w:line="360" w:lineRule="auto"/>
        <w:ind w:firstLineChars="200" w:firstLine="480"/>
        <w:jc w:val="left"/>
        <w:rPr>
          <w:rFonts w:asciiTheme="minorEastAsia" w:eastAsiaTheme="minorEastAsia" w:hAnsiTheme="minorEastAsia"/>
          <w:sz w:val="24"/>
        </w:rPr>
      </w:pPr>
    </w:p>
    <w:sectPr w:rsidR="007862A0" w:rsidRPr="00F33466" w:rsidSect="000F666E">
      <w:head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F6D23" w:rsidRDefault="005F6D23" w:rsidP="00F439FD">
      <w:r>
        <w:separator/>
      </w:r>
    </w:p>
  </w:endnote>
  <w:endnote w:type="continuationSeparator" w:id="1">
    <w:p w:rsidR="005F6D23" w:rsidRDefault="005F6D23" w:rsidP="00F439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B3+CAJ FNT00">
    <w:altName w:val="黑体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F6D23" w:rsidRDefault="005F6D23" w:rsidP="00F439FD">
      <w:r>
        <w:separator/>
      </w:r>
    </w:p>
  </w:footnote>
  <w:footnote w:type="continuationSeparator" w:id="1">
    <w:p w:rsidR="005F6D23" w:rsidRDefault="005F6D23" w:rsidP="00F439F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2A6A" w:rsidRDefault="00D32A6A" w:rsidP="009844AF">
    <w:pPr>
      <w:pStyle w:val="a5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lvl w:ilvl="0">
      <w:start w:val="1"/>
      <w:numFmt w:val="decimal"/>
      <w:suff w:val="nothing"/>
      <w:lvlText w:val="%1."/>
      <w:lvlJc w:val="left"/>
      <w:rPr>
        <w:rFonts w:ascii="Times New Roman" w:eastAsia="宋体" w:hAnsi="Times New Roman" w:cs="Times New Roman"/>
      </w:rPr>
    </w:lvl>
    <w:lvl w:ilvl="1">
      <w:start w:val="1"/>
      <w:numFmt w:val="decimal"/>
      <w:lvlText w:val="%2."/>
      <w:lvlJc w:val="left"/>
      <w:pPr>
        <w:ind w:left="13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182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24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ind w:left="266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308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350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ind w:left="392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4340" w:hanging="420"/>
      </w:pPr>
      <w:rPr>
        <w:rFonts w:cs="Times New Roman"/>
      </w:rPr>
    </w:lvl>
  </w:abstractNum>
  <w:abstractNum w:abstractNumId="1">
    <w:nsid w:val="0000000C"/>
    <w:multiLevelType w:val="singleLevel"/>
    <w:tmpl w:val="F648BA70"/>
    <w:lvl w:ilvl="0">
      <w:start w:val="1"/>
      <w:numFmt w:val="decimal"/>
      <w:lvlText w:val="(%1)"/>
      <w:lvlJc w:val="left"/>
      <w:pPr>
        <w:tabs>
          <w:tab w:val="num" w:pos="420"/>
        </w:tabs>
        <w:ind w:left="420" w:hanging="420"/>
      </w:pPr>
      <w:rPr>
        <w:rFonts w:cs="Times New Roman" w:hint="eastAsia"/>
      </w:rPr>
    </w:lvl>
  </w:abstractNum>
  <w:abstractNum w:abstractNumId="2">
    <w:nsid w:val="05887153"/>
    <w:multiLevelType w:val="hybridMultilevel"/>
    <w:tmpl w:val="DAE63426"/>
    <w:lvl w:ilvl="0" w:tplc="52F28D44">
      <w:start w:val="2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hAnsi="宋体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050"/>
        </w:tabs>
        <w:ind w:left="105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70"/>
        </w:tabs>
        <w:ind w:left="147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310"/>
        </w:tabs>
        <w:ind w:left="231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730"/>
        </w:tabs>
        <w:ind w:left="273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570"/>
        </w:tabs>
        <w:ind w:left="357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990"/>
        </w:tabs>
        <w:ind w:left="3990" w:hanging="420"/>
      </w:pPr>
      <w:rPr>
        <w:rFonts w:cs="Times New Roman"/>
      </w:rPr>
    </w:lvl>
  </w:abstractNum>
  <w:abstractNum w:abstractNumId="3">
    <w:nsid w:val="0D0B0046"/>
    <w:multiLevelType w:val="hybridMultilevel"/>
    <w:tmpl w:val="C3CAC8DE"/>
    <w:lvl w:ilvl="0" w:tplc="DE0E3CE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4">
    <w:nsid w:val="16EE5C82"/>
    <w:multiLevelType w:val="hybridMultilevel"/>
    <w:tmpl w:val="AF223A7E"/>
    <w:lvl w:ilvl="0" w:tplc="27847786">
      <w:start w:val="1"/>
      <w:numFmt w:val="decimal"/>
      <w:lvlText w:val="%1、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65" w:hanging="420"/>
      </w:pPr>
    </w:lvl>
    <w:lvl w:ilvl="2" w:tplc="0409001B" w:tentative="1">
      <w:start w:val="1"/>
      <w:numFmt w:val="lowerRoman"/>
      <w:lvlText w:val="%3."/>
      <w:lvlJc w:val="right"/>
      <w:pPr>
        <w:ind w:left="1785" w:hanging="420"/>
      </w:pPr>
    </w:lvl>
    <w:lvl w:ilvl="3" w:tplc="0409000F" w:tentative="1">
      <w:start w:val="1"/>
      <w:numFmt w:val="decimal"/>
      <w:lvlText w:val="%4."/>
      <w:lvlJc w:val="left"/>
      <w:pPr>
        <w:ind w:left="2205" w:hanging="420"/>
      </w:pPr>
    </w:lvl>
    <w:lvl w:ilvl="4" w:tplc="04090019" w:tentative="1">
      <w:start w:val="1"/>
      <w:numFmt w:val="lowerLetter"/>
      <w:lvlText w:val="%5)"/>
      <w:lvlJc w:val="left"/>
      <w:pPr>
        <w:ind w:left="2625" w:hanging="420"/>
      </w:pPr>
    </w:lvl>
    <w:lvl w:ilvl="5" w:tplc="0409001B" w:tentative="1">
      <w:start w:val="1"/>
      <w:numFmt w:val="lowerRoman"/>
      <w:lvlText w:val="%6."/>
      <w:lvlJc w:val="right"/>
      <w:pPr>
        <w:ind w:left="3045" w:hanging="420"/>
      </w:pPr>
    </w:lvl>
    <w:lvl w:ilvl="6" w:tplc="0409000F" w:tentative="1">
      <w:start w:val="1"/>
      <w:numFmt w:val="decimal"/>
      <w:lvlText w:val="%7."/>
      <w:lvlJc w:val="left"/>
      <w:pPr>
        <w:ind w:left="3465" w:hanging="420"/>
      </w:pPr>
    </w:lvl>
    <w:lvl w:ilvl="7" w:tplc="04090019" w:tentative="1">
      <w:start w:val="1"/>
      <w:numFmt w:val="lowerLetter"/>
      <w:lvlText w:val="%8)"/>
      <w:lvlJc w:val="left"/>
      <w:pPr>
        <w:ind w:left="3885" w:hanging="420"/>
      </w:pPr>
    </w:lvl>
    <w:lvl w:ilvl="8" w:tplc="0409001B" w:tentative="1">
      <w:start w:val="1"/>
      <w:numFmt w:val="lowerRoman"/>
      <w:lvlText w:val="%9."/>
      <w:lvlJc w:val="right"/>
      <w:pPr>
        <w:ind w:left="4305" w:hanging="420"/>
      </w:pPr>
    </w:lvl>
  </w:abstractNum>
  <w:abstractNum w:abstractNumId="5">
    <w:nsid w:val="24AD28B1"/>
    <w:multiLevelType w:val="hybridMultilevel"/>
    <w:tmpl w:val="8CDEC3A8"/>
    <w:lvl w:ilvl="0" w:tplc="F648BA70">
      <w:start w:val="1"/>
      <w:numFmt w:val="decimal"/>
      <w:lvlText w:val="(%1)"/>
      <w:lvlJc w:val="left"/>
      <w:pPr>
        <w:tabs>
          <w:tab w:val="num" w:pos="420"/>
        </w:tabs>
        <w:ind w:left="420" w:hanging="420"/>
      </w:pPr>
      <w:rPr>
        <w:rFonts w:cs="Times New Roman"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6">
    <w:nsid w:val="32F36253"/>
    <w:multiLevelType w:val="hybridMultilevel"/>
    <w:tmpl w:val="C6D45318"/>
    <w:lvl w:ilvl="0" w:tplc="0409000F">
      <w:start w:val="1"/>
      <w:numFmt w:val="decimal"/>
      <w:lvlText w:val="%1."/>
      <w:lvlJc w:val="left"/>
      <w:pPr>
        <w:ind w:left="420" w:hanging="420"/>
      </w:pPr>
      <w:rPr>
        <w:rFonts w:cs="Times New Roman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7">
    <w:nsid w:val="3E5D2F14"/>
    <w:multiLevelType w:val="hybridMultilevel"/>
    <w:tmpl w:val="9B186B12"/>
    <w:lvl w:ilvl="0" w:tplc="0409000F">
      <w:start w:val="1"/>
      <w:numFmt w:val="decimal"/>
      <w:lvlText w:val="%1."/>
      <w:lvlJc w:val="left"/>
      <w:pPr>
        <w:ind w:left="420" w:hanging="420"/>
      </w:pPr>
      <w:rPr>
        <w:rFonts w:cs="Times New Roman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8">
    <w:nsid w:val="434F794D"/>
    <w:multiLevelType w:val="hybridMultilevel"/>
    <w:tmpl w:val="5FC810C4"/>
    <w:lvl w:ilvl="0" w:tplc="6E182B50">
      <w:start w:val="1"/>
      <w:numFmt w:val="decimal"/>
      <w:lvlText w:val="%1"/>
      <w:lvlJc w:val="left"/>
      <w:pPr>
        <w:tabs>
          <w:tab w:val="num" w:pos="570"/>
        </w:tabs>
        <w:ind w:left="57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050"/>
        </w:tabs>
        <w:ind w:left="105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70"/>
        </w:tabs>
        <w:ind w:left="147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310"/>
        </w:tabs>
        <w:ind w:left="231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730"/>
        </w:tabs>
        <w:ind w:left="273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570"/>
        </w:tabs>
        <w:ind w:left="357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990"/>
        </w:tabs>
        <w:ind w:left="3990" w:hanging="420"/>
      </w:pPr>
      <w:rPr>
        <w:rFonts w:cs="Times New Roman"/>
      </w:rPr>
    </w:lvl>
  </w:abstractNum>
  <w:abstractNum w:abstractNumId="9">
    <w:nsid w:val="43C515F2"/>
    <w:multiLevelType w:val="multilevel"/>
    <w:tmpl w:val="C6D45318"/>
    <w:lvl w:ilvl="0">
      <w:start w:val="1"/>
      <w:numFmt w:val="decimal"/>
      <w:lvlText w:val="%1."/>
      <w:lvlJc w:val="left"/>
      <w:pPr>
        <w:ind w:left="420" w:hanging="42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0">
    <w:nsid w:val="47345611"/>
    <w:multiLevelType w:val="hybridMultilevel"/>
    <w:tmpl w:val="42088E3A"/>
    <w:lvl w:ilvl="0" w:tplc="0409000F">
      <w:start w:val="1"/>
      <w:numFmt w:val="decimal"/>
      <w:lvlText w:val="%1."/>
      <w:lvlJc w:val="left"/>
      <w:pPr>
        <w:ind w:left="420" w:hanging="420"/>
      </w:pPr>
      <w:rPr>
        <w:rFonts w:cs="Times New Roman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1">
    <w:nsid w:val="5119660A"/>
    <w:multiLevelType w:val="hybridMultilevel"/>
    <w:tmpl w:val="E1C855D8"/>
    <w:lvl w:ilvl="0" w:tplc="0409000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01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2">
    <w:nsid w:val="58AE6596"/>
    <w:multiLevelType w:val="hybridMultilevel"/>
    <w:tmpl w:val="AF223A7E"/>
    <w:lvl w:ilvl="0" w:tplc="27847786">
      <w:start w:val="1"/>
      <w:numFmt w:val="decimal"/>
      <w:lvlText w:val="%1、"/>
      <w:lvlJc w:val="left"/>
      <w:pPr>
        <w:ind w:left="88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65" w:hanging="420"/>
      </w:pPr>
    </w:lvl>
    <w:lvl w:ilvl="2" w:tplc="0409001B" w:tentative="1">
      <w:start w:val="1"/>
      <w:numFmt w:val="lowerRoman"/>
      <w:lvlText w:val="%3."/>
      <w:lvlJc w:val="right"/>
      <w:pPr>
        <w:ind w:left="1785" w:hanging="420"/>
      </w:pPr>
    </w:lvl>
    <w:lvl w:ilvl="3" w:tplc="0409000F" w:tentative="1">
      <w:start w:val="1"/>
      <w:numFmt w:val="decimal"/>
      <w:lvlText w:val="%4."/>
      <w:lvlJc w:val="left"/>
      <w:pPr>
        <w:ind w:left="2205" w:hanging="420"/>
      </w:pPr>
    </w:lvl>
    <w:lvl w:ilvl="4" w:tplc="04090019" w:tentative="1">
      <w:start w:val="1"/>
      <w:numFmt w:val="lowerLetter"/>
      <w:lvlText w:val="%5)"/>
      <w:lvlJc w:val="left"/>
      <w:pPr>
        <w:ind w:left="2625" w:hanging="420"/>
      </w:pPr>
    </w:lvl>
    <w:lvl w:ilvl="5" w:tplc="0409001B" w:tentative="1">
      <w:start w:val="1"/>
      <w:numFmt w:val="lowerRoman"/>
      <w:lvlText w:val="%6."/>
      <w:lvlJc w:val="right"/>
      <w:pPr>
        <w:ind w:left="3045" w:hanging="420"/>
      </w:pPr>
    </w:lvl>
    <w:lvl w:ilvl="6" w:tplc="0409000F" w:tentative="1">
      <w:start w:val="1"/>
      <w:numFmt w:val="decimal"/>
      <w:lvlText w:val="%7."/>
      <w:lvlJc w:val="left"/>
      <w:pPr>
        <w:ind w:left="3465" w:hanging="420"/>
      </w:pPr>
    </w:lvl>
    <w:lvl w:ilvl="7" w:tplc="04090019" w:tentative="1">
      <w:start w:val="1"/>
      <w:numFmt w:val="lowerLetter"/>
      <w:lvlText w:val="%8)"/>
      <w:lvlJc w:val="left"/>
      <w:pPr>
        <w:ind w:left="3885" w:hanging="420"/>
      </w:pPr>
    </w:lvl>
    <w:lvl w:ilvl="8" w:tplc="0409001B" w:tentative="1">
      <w:start w:val="1"/>
      <w:numFmt w:val="lowerRoman"/>
      <w:lvlText w:val="%9."/>
      <w:lvlJc w:val="right"/>
      <w:pPr>
        <w:ind w:left="4305" w:hanging="420"/>
      </w:pPr>
    </w:lvl>
  </w:abstractNum>
  <w:abstractNum w:abstractNumId="13">
    <w:nsid w:val="5EA4018D"/>
    <w:multiLevelType w:val="hybridMultilevel"/>
    <w:tmpl w:val="44804988"/>
    <w:lvl w:ilvl="0" w:tplc="0409000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 w:tplc="0409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4">
    <w:nsid w:val="6D146A58"/>
    <w:multiLevelType w:val="hybridMultilevel"/>
    <w:tmpl w:val="09148574"/>
    <w:lvl w:ilvl="0" w:tplc="04090001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5">
    <w:nsid w:val="71355B12"/>
    <w:multiLevelType w:val="hybridMultilevel"/>
    <w:tmpl w:val="3370A2F8"/>
    <w:lvl w:ilvl="0" w:tplc="0409000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6">
    <w:nsid w:val="7F3608F7"/>
    <w:multiLevelType w:val="hybridMultilevel"/>
    <w:tmpl w:val="BC5C84BC"/>
    <w:lvl w:ilvl="0" w:tplc="742A11A8">
      <w:start w:val="2"/>
      <w:numFmt w:val="decimal"/>
      <w:lvlText w:val="%1，"/>
      <w:lvlJc w:val="left"/>
      <w:pPr>
        <w:tabs>
          <w:tab w:val="num" w:pos="360"/>
        </w:tabs>
        <w:ind w:left="360" w:hanging="360"/>
      </w:pPr>
      <w:rPr>
        <w:rFonts w:hAnsi="宋体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num w:numId="1">
    <w:abstractNumId w:val="15"/>
  </w:num>
  <w:num w:numId="2">
    <w:abstractNumId w:val="11"/>
  </w:num>
  <w:num w:numId="3">
    <w:abstractNumId w:val="14"/>
  </w:num>
  <w:num w:numId="4">
    <w:abstractNumId w:val="13"/>
  </w:num>
  <w:num w:numId="5">
    <w:abstractNumId w:val="0"/>
  </w:num>
  <w:num w:numId="6">
    <w:abstractNumId w:val="1"/>
  </w:num>
  <w:num w:numId="7">
    <w:abstractNumId w:val="7"/>
  </w:num>
  <w:num w:numId="8">
    <w:abstractNumId w:val="6"/>
  </w:num>
  <w:num w:numId="9">
    <w:abstractNumId w:val="9"/>
  </w:num>
  <w:num w:numId="10">
    <w:abstractNumId w:val="5"/>
  </w:num>
  <w:num w:numId="11">
    <w:abstractNumId w:val="10"/>
  </w:num>
  <w:num w:numId="12">
    <w:abstractNumId w:val="2"/>
  </w:num>
  <w:num w:numId="13">
    <w:abstractNumId w:val="16"/>
  </w:num>
  <w:num w:numId="14">
    <w:abstractNumId w:val="8"/>
  </w:num>
  <w:num w:numId="15">
    <w:abstractNumId w:val="3"/>
  </w:num>
  <w:num w:numId="16">
    <w:abstractNumId w:val="12"/>
  </w:num>
  <w:num w:numId="1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removePersonalInformation/>
  <w:embedSystemFonts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D3412"/>
    <w:rsid w:val="00021281"/>
    <w:rsid w:val="000231E5"/>
    <w:rsid w:val="00032A10"/>
    <w:rsid w:val="000606C7"/>
    <w:rsid w:val="00077CF2"/>
    <w:rsid w:val="00086141"/>
    <w:rsid w:val="00087052"/>
    <w:rsid w:val="000961EE"/>
    <w:rsid w:val="000A29B6"/>
    <w:rsid w:val="000B11F3"/>
    <w:rsid w:val="000F666E"/>
    <w:rsid w:val="001510EB"/>
    <w:rsid w:val="00152060"/>
    <w:rsid w:val="00155892"/>
    <w:rsid w:val="00157B5E"/>
    <w:rsid w:val="00160BD5"/>
    <w:rsid w:val="001634E2"/>
    <w:rsid w:val="001810C2"/>
    <w:rsid w:val="00182B19"/>
    <w:rsid w:val="00191835"/>
    <w:rsid w:val="001E0069"/>
    <w:rsid w:val="001F1901"/>
    <w:rsid w:val="002064E2"/>
    <w:rsid w:val="002160D7"/>
    <w:rsid w:val="00216B14"/>
    <w:rsid w:val="0022382E"/>
    <w:rsid w:val="0023144C"/>
    <w:rsid w:val="00242357"/>
    <w:rsid w:val="002425DF"/>
    <w:rsid w:val="00244349"/>
    <w:rsid w:val="00245155"/>
    <w:rsid w:val="00261BE2"/>
    <w:rsid w:val="00265737"/>
    <w:rsid w:val="002676B7"/>
    <w:rsid w:val="00270354"/>
    <w:rsid w:val="00274C46"/>
    <w:rsid w:val="00280197"/>
    <w:rsid w:val="00286BD6"/>
    <w:rsid w:val="00292707"/>
    <w:rsid w:val="002B3EB9"/>
    <w:rsid w:val="002C18A1"/>
    <w:rsid w:val="002C21EA"/>
    <w:rsid w:val="002C35EE"/>
    <w:rsid w:val="002D186B"/>
    <w:rsid w:val="002E2AB0"/>
    <w:rsid w:val="002E5C23"/>
    <w:rsid w:val="002F2E8B"/>
    <w:rsid w:val="002F55C3"/>
    <w:rsid w:val="003049CA"/>
    <w:rsid w:val="00312EC9"/>
    <w:rsid w:val="00325B6E"/>
    <w:rsid w:val="00333084"/>
    <w:rsid w:val="00372AF9"/>
    <w:rsid w:val="00377B11"/>
    <w:rsid w:val="00377B21"/>
    <w:rsid w:val="00391A67"/>
    <w:rsid w:val="00397710"/>
    <w:rsid w:val="003B396B"/>
    <w:rsid w:val="003C1647"/>
    <w:rsid w:val="003D4798"/>
    <w:rsid w:val="003D5A92"/>
    <w:rsid w:val="003D6EE6"/>
    <w:rsid w:val="003F6DB6"/>
    <w:rsid w:val="00420181"/>
    <w:rsid w:val="004267D2"/>
    <w:rsid w:val="00436820"/>
    <w:rsid w:val="00463066"/>
    <w:rsid w:val="0047368A"/>
    <w:rsid w:val="0048267E"/>
    <w:rsid w:val="00490137"/>
    <w:rsid w:val="004A27D4"/>
    <w:rsid w:val="004C290E"/>
    <w:rsid w:val="004E65E8"/>
    <w:rsid w:val="004F54AC"/>
    <w:rsid w:val="00534CDA"/>
    <w:rsid w:val="00565DB7"/>
    <w:rsid w:val="00575894"/>
    <w:rsid w:val="005843D3"/>
    <w:rsid w:val="00590BA4"/>
    <w:rsid w:val="005960EB"/>
    <w:rsid w:val="005B42AA"/>
    <w:rsid w:val="005C51C3"/>
    <w:rsid w:val="005D481D"/>
    <w:rsid w:val="005D5C8B"/>
    <w:rsid w:val="005E04AA"/>
    <w:rsid w:val="005F1372"/>
    <w:rsid w:val="005F1840"/>
    <w:rsid w:val="005F643F"/>
    <w:rsid w:val="005F6D23"/>
    <w:rsid w:val="00603C10"/>
    <w:rsid w:val="00627255"/>
    <w:rsid w:val="0064452B"/>
    <w:rsid w:val="00674536"/>
    <w:rsid w:val="006761BC"/>
    <w:rsid w:val="00680B1F"/>
    <w:rsid w:val="0068634C"/>
    <w:rsid w:val="00696DDA"/>
    <w:rsid w:val="006A493F"/>
    <w:rsid w:val="006B0BBA"/>
    <w:rsid w:val="006B460D"/>
    <w:rsid w:val="006D01A0"/>
    <w:rsid w:val="006E10B9"/>
    <w:rsid w:val="00706C51"/>
    <w:rsid w:val="00743202"/>
    <w:rsid w:val="007459F6"/>
    <w:rsid w:val="00747D42"/>
    <w:rsid w:val="007562C7"/>
    <w:rsid w:val="007626DC"/>
    <w:rsid w:val="00763E4F"/>
    <w:rsid w:val="007775EC"/>
    <w:rsid w:val="007862A0"/>
    <w:rsid w:val="007A7B5C"/>
    <w:rsid w:val="007D3221"/>
    <w:rsid w:val="007E0072"/>
    <w:rsid w:val="007E08EE"/>
    <w:rsid w:val="008105D0"/>
    <w:rsid w:val="00810CDA"/>
    <w:rsid w:val="00817AB8"/>
    <w:rsid w:val="008312A6"/>
    <w:rsid w:val="00833B07"/>
    <w:rsid w:val="0084732E"/>
    <w:rsid w:val="00850E36"/>
    <w:rsid w:val="00867E30"/>
    <w:rsid w:val="00880CAF"/>
    <w:rsid w:val="00896797"/>
    <w:rsid w:val="008A11B3"/>
    <w:rsid w:val="008A31FD"/>
    <w:rsid w:val="008B30D4"/>
    <w:rsid w:val="008B3D7A"/>
    <w:rsid w:val="008D2688"/>
    <w:rsid w:val="008D669C"/>
    <w:rsid w:val="008E4F0A"/>
    <w:rsid w:val="008E7A35"/>
    <w:rsid w:val="008F1284"/>
    <w:rsid w:val="008F67CB"/>
    <w:rsid w:val="008F7FD1"/>
    <w:rsid w:val="00902C61"/>
    <w:rsid w:val="0091355F"/>
    <w:rsid w:val="00915BCB"/>
    <w:rsid w:val="00931A98"/>
    <w:rsid w:val="00936121"/>
    <w:rsid w:val="009579E7"/>
    <w:rsid w:val="00965352"/>
    <w:rsid w:val="009666A1"/>
    <w:rsid w:val="00966AB0"/>
    <w:rsid w:val="0097296E"/>
    <w:rsid w:val="00977675"/>
    <w:rsid w:val="009844AF"/>
    <w:rsid w:val="00984608"/>
    <w:rsid w:val="00986D94"/>
    <w:rsid w:val="009910BF"/>
    <w:rsid w:val="00992B7E"/>
    <w:rsid w:val="009A70EB"/>
    <w:rsid w:val="009D7EE0"/>
    <w:rsid w:val="009E6CD0"/>
    <w:rsid w:val="009F1BB6"/>
    <w:rsid w:val="009F2F2D"/>
    <w:rsid w:val="009F364A"/>
    <w:rsid w:val="00A040FC"/>
    <w:rsid w:val="00A04202"/>
    <w:rsid w:val="00A056F4"/>
    <w:rsid w:val="00A305B2"/>
    <w:rsid w:val="00A316C1"/>
    <w:rsid w:val="00A374FB"/>
    <w:rsid w:val="00A42F2B"/>
    <w:rsid w:val="00A44350"/>
    <w:rsid w:val="00A47A6B"/>
    <w:rsid w:val="00A528BE"/>
    <w:rsid w:val="00A60042"/>
    <w:rsid w:val="00A609D0"/>
    <w:rsid w:val="00A63ACF"/>
    <w:rsid w:val="00A6472F"/>
    <w:rsid w:val="00A711F9"/>
    <w:rsid w:val="00AA1B40"/>
    <w:rsid w:val="00AC7A84"/>
    <w:rsid w:val="00AE54EE"/>
    <w:rsid w:val="00AF2D21"/>
    <w:rsid w:val="00B16842"/>
    <w:rsid w:val="00B2347B"/>
    <w:rsid w:val="00B34134"/>
    <w:rsid w:val="00B524B7"/>
    <w:rsid w:val="00B60919"/>
    <w:rsid w:val="00B7759E"/>
    <w:rsid w:val="00B8190F"/>
    <w:rsid w:val="00B973C5"/>
    <w:rsid w:val="00BA001F"/>
    <w:rsid w:val="00BC60F7"/>
    <w:rsid w:val="00BD3412"/>
    <w:rsid w:val="00BE6920"/>
    <w:rsid w:val="00BE6F21"/>
    <w:rsid w:val="00BF13EF"/>
    <w:rsid w:val="00BF2635"/>
    <w:rsid w:val="00BF4145"/>
    <w:rsid w:val="00C01186"/>
    <w:rsid w:val="00C075AB"/>
    <w:rsid w:val="00C20BCF"/>
    <w:rsid w:val="00C22D1C"/>
    <w:rsid w:val="00C30B8C"/>
    <w:rsid w:val="00C44610"/>
    <w:rsid w:val="00C45E84"/>
    <w:rsid w:val="00C472A4"/>
    <w:rsid w:val="00C55104"/>
    <w:rsid w:val="00C553AD"/>
    <w:rsid w:val="00C6570B"/>
    <w:rsid w:val="00C737A2"/>
    <w:rsid w:val="00C74535"/>
    <w:rsid w:val="00C801E6"/>
    <w:rsid w:val="00C80370"/>
    <w:rsid w:val="00C961E6"/>
    <w:rsid w:val="00CB2129"/>
    <w:rsid w:val="00CB4AAA"/>
    <w:rsid w:val="00CC050A"/>
    <w:rsid w:val="00CC37B4"/>
    <w:rsid w:val="00CE2967"/>
    <w:rsid w:val="00CF575F"/>
    <w:rsid w:val="00D0393C"/>
    <w:rsid w:val="00D1258D"/>
    <w:rsid w:val="00D21447"/>
    <w:rsid w:val="00D2223B"/>
    <w:rsid w:val="00D32A6A"/>
    <w:rsid w:val="00D347DE"/>
    <w:rsid w:val="00D36EF8"/>
    <w:rsid w:val="00D46843"/>
    <w:rsid w:val="00D50729"/>
    <w:rsid w:val="00D54BC9"/>
    <w:rsid w:val="00D613C8"/>
    <w:rsid w:val="00D63DA9"/>
    <w:rsid w:val="00D655DF"/>
    <w:rsid w:val="00D73585"/>
    <w:rsid w:val="00D736DF"/>
    <w:rsid w:val="00D80FFF"/>
    <w:rsid w:val="00DA13B7"/>
    <w:rsid w:val="00DA6D05"/>
    <w:rsid w:val="00DB1427"/>
    <w:rsid w:val="00DB5875"/>
    <w:rsid w:val="00DC304C"/>
    <w:rsid w:val="00DC413D"/>
    <w:rsid w:val="00DD1A2D"/>
    <w:rsid w:val="00E00947"/>
    <w:rsid w:val="00E05A8B"/>
    <w:rsid w:val="00E214D3"/>
    <w:rsid w:val="00E35B03"/>
    <w:rsid w:val="00E44212"/>
    <w:rsid w:val="00E729CB"/>
    <w:rsid w:val="00EB15BE"/>
    <w:rsid w:val="00EB27F7"/>
    <w:rsid w:val="00EC158D"/>
    <w:rsid w:val="00EF106B"/>
    <w:rsid w:val="00EF2359"/>
    <w:rsid w:val="00EF6789"/>
    <w:rsid w:val="00F00DBB"/>
    <w:rsid w:val="00F14B1D"/>
    <w:rsid w:val="00F14F25"/>
    <w:rsid w:val="00F33466"/>
    <w:rsid w:val="00F439FD"/>
    <w:rsid w:val="00F43E6A"/>
    <w:rsid w:val="00F47A05"/>
    <w:rsid w:val="00F47ABB"/>
    <w:rsid w:val="00F5263C"/>
    <w:rsid w:val="00F63E64"/>
    <w:rsid w:val="00F71240"/>
    <w:rsid w:val="00F83BB8"/>
    <w:rsid w:val="00FB4653"/>
    <w:rsid w:val="00FC4D29"/>
    <w:rsid w:val="00FC79A9"/>
    <w:rsid w:val="00FD503A"/>
    <w:rsid w:val="00FD66FC"/>
    <w:rsid w:val="00FD6B7B"/>
    <w:rsid w:val="00FE6B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53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1"/>
        <w:lang w:val="en-US" w:eastAsia="zh-CN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locked="1" w:semiHidden="1" w:uiPriority="0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locked="1" w:uiPriority="0" w:qFormat="1"/>
    <w:lsdException w:name="Default Paragraph Font" w:semiHidden="1" w:uiPriority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locked="1" w:uiPriority="0" w:qFormat="1"/>
    <w:lsdException w:name="Emphasis" w:locked="1" w:uiPriority="0" w:qFormat="1"/>
    <w:lsdException w:name="Plain Text" w:uiPriority="0"/>
    <w:lsdException w:name="Normal (Web)" w:uiPriority="0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F666E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22382E"/>
    <w:rPr>
      <w:rFonts w:cs="Times New Roman"/>
      <w:color w:val="0000FF"/>
      <w:u w:val="single"/>
    </w:rPr>
  </w:style>
  <w:style w:type="paragraph" w:styleId="a4">
    <w:name w:val="Plain Text"/>
    <w:basedOn w:val="a"/>
    <w:link w:val="Char"/>
    <w:uiPriority w:val="99"/>
    <w:rsid w:val="005843D3"/>
    <w:pPr>
      <w:adjustRightInd w:val="0"/>
      <w:spacing w:line="312" w:lineRule="atLeast"/>
      <w:textAlignment w:val="baseline"/>
    </w:pPr>
    <w:rPr>
      <w:rFonts w:ascii="宋体" w:hAnsi="Courier New"/>
      <w:kern w:val="0"/>
      <w:szCs w:val="20"/>
    </w:rPr>
  </w:style>
  <w:style w:type="character" w:customStyle="1" w:styleId="Char">
    <w:name w:val="纯文本 Char"/>
    <w:basedOn w:val="a0"/>
    <w:link w:val="a4"/>
    <w:uiPriority w:val="99"/>
    <w:semiHidden/>
    <w:locked/>
    <w:rsid w:val="00C45E84"/>
    <w:rPr>
      <w:rFonts w:ascii="宋体" w:hAnsi="Courier New" w:cs="Courier New"/>
      <w:sz w:val="21"/>
      <w:szCs w:val="21"/>
    </w:rPr>
  </w:style>
  <w:style w:type="paragraph" w:styleId="a5">
    <w:name w:val="header"/>
    <w:basedOn w:val="a"/>
    <w:link w:val="Char0"/>
    <w:uiPriority w:val="99"/>
    <w:rsid w:val="00F439F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locked/>
    <w:rsid w:val="00F439FD"/>
    <w:rPr>
      <w:rFonts w:cs="Times New Roman"/>
      <w:kern w:val="2"/>
      <w:sz w:val="18"/>
    </w:rPr>
  </w:style>
  <w:style w:type="paragraph" w:styleId="a6">
    <w:name w:val="footer"/>
    <w:basedOn w:val="a"/>
    <w:link w:val="Char1"/>
    <w:uiPriority w:val="99"/>
    <w:rsid w:val="00F439F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locked/>
    <w:rsid w:val="00F439FD"/>
    <w:rPr>
      <w:rFonts w:cs="Times New Roman"/>
      <w:kern w:val="2"/>
      <w:sz w:val="18"/>
    </w:rPr>
  </w:style>
  <w:style w:type="paragraph" w:styleId="a7">
    <w:name w:val="annotation text"/>
    <w:basedOn w:val="a"/>
    <w:link w:val="Char2"/>
    <w:uiPriority w:val="99"/>
    <w:rsid w:val="003B396B"/>
    <w:pPr>
      <w:jc w:val="left"/>
    </w:pPr>
  </w:style>
  <w:style w:type="character" w:customStyle="1" w:styleId="Char2">
    <w:name w:val="批注文字 Char"/>
    <w:basedOn w:val="a0"/>
    <w:link w:val="a7"/>
    <w:uiPriority w:val="99"/>
    <w:locked/>
    <w:rsid w:val="003B396B"/>
    <w:rPr>
      <w:rFonts w:eastAsia="宋体" w:cs="Times New Roman"/>
      <w:kern w:val="2"/>
      <w:sz w:val="24"/>
      <w:szCs w:val="24"/>
      <w:lang w:val="en-US" w:eastAsia="zh-CN" w:bidi="ar-SA"/>
    </w:rPr>
  </w:style>
  <w:style w:type="paragraph" w:styleId="a8">
    <w:name w:val="Balloon Text"/>
    <w:basedOn w:val="a"/>
    <w:link w:val="Char3"/>
    <w:uiPriority w:val="99"/>
    <w:semiHidden/>
    <w:rsid w:val="00A305B2"/>
    <w:rPr>
      <w:sz w:val="18"/>
      <w:szCs w:val="18"/>
    </w:rPr>
  </w:style>
  <w:style w:type="character" w:customStyle="1" w:styleId="Char3">
    <w:name w:val="批注框文本 Char"/>
    <w:basedOn w:val="a0"/>
    <w:link w:val="a8"/>
    <w:uiPriority w:val="99"/>
    <w:semiHidden/>
    <w:locked/>
    <w:rsid w:val="00C45E84"/>
    <w:rPr>
      <w:rFonts w:cs="Times New Roman"/>
      <w:sz w:val="18"/>
      <w:szCs w:val="18"/>
    </w:rPr>
  </w:style>
  <w:style w:type="character" w:styleId="a9">
    <w:name w:val="annotation reference"/>
    <w:basedOn w:val="a0"/>
    <w:uiPriority w:val="99"/>
    <w:semiHidden/>
    <w:rsid w:val="00BF2635"/>
    <w:rPr>
      <w:rFonts w:cs="Times New Roman"/>
      <w:sz w:val="21"/>
      <w:szCs w:val="21"/>
    </w:rPr>
  </w:style>
  <w:style w:type="paragraph" w:styleId="aa">
    <w:name w:val="annotation subject"/>
    <w:basedOn w:val="a7"/>
    <w:next w:val="a7"/>
    <w:link w:val="Char4"/>
    <w:uiPriority w:val="99"/>
    <w:semiHidden/>
    <w:rsid w:val="00BF2635"/>
    <w:rPr>
      <w:b/>
      <w:bCs/>
    </w:rPr>
  </w:style>
  <w:style w:type="character" w:customStyle="1" w:styleId="Char4">
    <w:name w:val="批注主题 Char"/>
    <w:basedOn w:val="Char2"/>
    <w:link w:val="aa"/>
    <w:uiPriority w:val="99"/>
    <w:semiHidden/>
    <w:locked/>
    <w:rsid w:val="00C45E84"/>
    <w:rPr>
      <w:b/>
      <w:bCs/>
    </w:rPr>
  </w:style>
  <w:style w:type="paragraph" w:styleId="ab">
    <w:name w:val="List Paragraph"/>
    <w:basedOn w:val="a"/>
    <w:uiPriority w:val="99"/>
    <w:qFormat/>
    <w:rsid w:val="00C553AD"/>
    <w:pPr>
      <w:ind w:firstLineChars="200" w:firstLine="420"/>
    </w:pPr>
    <w:rPr>
      <w:rFonts w:ascii="Calibri" w:hAnsi="Calibri"/>
      <w:szCs w:val="22"/>
    </w:rPr>
  </w:style>
  <w:style w:type="paragraph" w:styleId="ac">
    <w:name w:val="Normal (Web)"/>
    <w:basedOn w:val="a"/>
    <w:uiPriority w:val="99"/>
    <w:rsid w:val="001E006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FirstParagraph">
    <w:name w:val="First Paragraph"/>
    <w:basedOn w:val="ad"/>
    <w:next w:val="ad"/>
    <w:qFormat/>
    <w:rsid w:val="005F1372"/>
    <w:pPr>
      <w:widowControl/>
      <w:spacing w:before="180" w:after="180"/>
      <w:jc w:val="left"/>
    </w:pPr>
    <w:rPr>
      <w:rFonts w:asciiTheme="minorHAnsi" w:hAnsiTheme="minorHAnsi" w:cstheme="minorBidi"/>
      <w:kern w:val="0"/>
      <w:sz w:val="24"/>
      <w:lang w:eastAsia="en-US"/>
    </w:rPr>
  </w:style>
  <w:style w:type="paragraph" w:styleId="ad">
    <w:name w:val="Body Text"/>
    <w:basedOn w:val="a"/>
    <w:link w:val="Char5"/>
    <w:uiPriority w:val="99"/>
    <w:rsid w:val="005F1372"/>
    <w:pPr>
      <w:spacing w:after="120"/>
    </w:pPr>
  </w:style>
  <w:style w:type="character" w:customStyle="1" w:styleId="Char5">
    <w:name w:val="正文文本 Char"/>
    <w:basedOn w:val="a0"/>
    <w:link w:val="ad"/>
    <w:uiPriority w:val="99"/>
    <w:locked/>
    <w:rsid w:val="005F1372"/>
    <w:rPr>
      <w:rFonts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244</Words>
  <Characters>1393</Characters>
  <Application>Microsoft Office Word</Application>
  <DocSecurity>0</DocSecurity>
  <Lines>11</Lines>
  <Paragraphs>3</Paragraphs>
  <ScaleCrop>false</ScaleCrop>
  <Company/>
  <LinksUpToDate>false</LinksUpToDate>
  <CharactersWithSpaces>1634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2010高教社杯全国大学生数学建模竞赛题目</dc:title>
  <dc:subject/>
  <dc:creator/>
  <cp:keywords/>
  <dc:description/>
  <cp:lastModifiedBy/>
  <cp:revision>1</cp:revision>
  <dcterms:created xsi:type="dcterms:W3CDTF">2016-03-20T07:43:00Z</dcterms:created>
  <dcterms:modified xsi:type="dcterms:W3CDTF">2016-03-28T00:49:00Z</dcterms:modified>
</cp:coreProperties>
</file>